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52065">
      <w:pPr>
        <w:keepNext w:val="0"/>
        <w:keepLines w:val="0"/>
        <w:pageBreakBefore w:val="0"/>
        <w:kinsoku/>
        <w:wordWrap/>
        <w:overflowPunct/>
        <w:topLinePunct w:val="0"/>
        <w:autoSpaceDE/>
        <w:autoSpaceDN/>
        <w:bidi w:val="0"/>
        <w:snapToGrid/>
        <w:spacing w:line="600" w:lineRule="exact"/>
        <w:jc w:val="left"/>
        <w:textAlignment w:val="auto"/>
        <w:rPr>
          <w:rFonts w:hint="default"/>
          <w:highlight w:val="none"/>
          <w:lang w:val="en-US" w:eastAsia="zh-CN"/>
        </w:rPr>
      </w:pPr>
      <w:r>
        <w:rPr>
          <w:rFonts w:hint="eastAsia" w:ascii="宋体" w:hAnsi="宋体" w:eastAsia="宋体" w:cs="宋体"/>
          <w:b/>
          <w:bCs/>
          <w:sz w:val="32"/>
          <w:szCs w:val="32"/>
          <w:highlight w:val="none"/>
          <w:lang w:val="en-US" w:eastAsia="zh-CN"/>
        </w:rPr>
        <w:t>附件：</w:t>
      </w:r>
    </w:p>
    <w:p w14:paraId="2707172A">
      <w:pPr>
        <w:keepNext w:val="0"/>
        <w:keepLines w:val="0"/>
        <w:pageBreakBefore w:val="0"/>
        <w:kinsoku/>
        <w:wordWrap/>
        <w:overflowPunct/>
        <w:topLinePunct w:val="0"/>
        <w:autoSpaceDE/>
        <w:autoSpaceDN/>
        <w:bidi w:val="0"/>
        <w:snapToGrid/>
        <w:spacing w:line="600" w:lineRule="exact"/>
        <w:ind w:firstLine="2209" w:firstLineChars="500"/>
        <w:jc w:val="both"/>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桂阳沪农商村镇银行</w:t>
      </w:r>
    </w:p>
    <w:p w14:paraId="68766D63">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highlight w:val="none"/>
          <w:lang w:val="en-US" w:eastAsia="zh-CN"/>
        </w:rPr>
      </w:pPr>
      <w:r>
        <w:rPr>
          <w:rFonts w:hint="eastAsia" w:ascii="宋体" w:hAnsi="宋体" w:eastAsia="宋体" w:cs="宋体"/>
          <w:b/>
          <w:bCs/>
          <w:sz w:val="44"/>
          <w:szCs w:val="44"/>
          <w:highlight w:val="none"/>
          <w:lang w:val="en-US" w:eastAsia="zh-CN"/>
        </w:rPr>
        <w:t>2024年社会责任报告</w:t>
      </w:r>
    </w:p>
    <w:p w14:paraId="352D8D05">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highlight w:val="none"/>
          <w:lang w:val="en-US" w:eastAsia="zh-CN"/>
        </w:rPr>
      </w:pPr>
    </w:p>
    <w:p w14:paraId="32D3E6DF">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目  录</w:t>
      </w:r>
    </w:p>
    <w:p w14:paraId="62F76174">
      <w:pPr>
        <w:pStyle w:val="6"/>
        <w:rPr>
          <w:rFonts w:hint="eastAsia"/>
          <w:highlight w:val="none"/>
          <w:lang w:val="en-US" w:eastAsia="zh-CN"/>
        </w:rPr>
      </w:pPr>
    </w:p>
    <w:p w14:paraId="3618C31D">
      <w:pPr>
        <w:keepNext w:val="0"/>
        <w:keepLines w:val="0"/>
        <w:pageBreakBefore w:val="0"/>
        <w:numPr>
          <w:ilvl w:val="0"/>
          <w:numId w:val="0"/>
        </w:numPr>
        <w:kinsoku/>
        <w:wordWrap/>
        <w:overflowPunct/>
        <w:topLinePunct w:val="0"/>
        <w:autoSpaceDE/>
        <w:autoSpaceDN/>
        <w:bidi w:val="0"/>
        <w:snapToGrid/>
        <w:spacing w:line="600" w:lineRule="exact"/>
        <w:ind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第一节 社会责任概况</w:t>
      </w:r>
    </w:p>
    <w:p w14:paraId="6B0BDAF4">
      <w:pPr>
        <w:keepNext w:val="0"/>
        <w:keepLines w:val="0"/>
        <w:pageBreakBefore w:val="0"/>
        <w:numPr>
          <w:ilvl w:val="0"/>
          <w:numId w:val="0"/>
        </w:numPr>
        <w:kinsoku/>
        <w:wordWrap/>
        <w:overflowPunct/>
        <w:topLinePunct w:val="0"/>
        <w:autoSpaceDE/>
        <w:autoSpaceDN/>
        <w:bidi w:val="0"/>
        <w:snapToGrid/>
        <w:spacing w:line="600" w:lineRule="exact"/>
        <w:ind w:leftChars="0"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第二节 社会责任理念</w:t>
      </w:r>
    </w:p>
    <w:p w14:paraId="7FA4806A">
      <w:pPr>
        <w:keepNext w:val="0"/>
        <w:keepLines w:val="0"/>
        <w:pageBreakBefore w:val="0"/>
        <w:numPr>
          <w:ilvl w:val="0"/>
          <w:numId w:val="0"/>
        </w:numPr>
        <w:kinsoku/>
        <w:wordWrap/>
        <w:overflowPunct/>
        <w:topLinePunct w:val="0"/>
        <w:autoSpaceDE/>
        <w:autoSpaceDN/>
        <w:bidi w:val="0"/>
        <w:snapToGrid/>
        <w:spacing w:line="600" w:lineRule="exact"/>
        <w:ind w:leftChars="0"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第三节 社会责任管理</w:t>
      </w:r>
    </w:p>
    <w:p w14:paraId="397E3CB6">
      <w:pPr>
        <w:keepNext w:val="0"/>
        <w:keepLines w:val="0"/>
        <w:pageBreakBefore w:val="0"/>
        <w:numPr>
          <w:ilvl w:val="0"/>
          <w:numId w:val="0"/>
        </w:numPr>
        <w:kinsoku/>
        <w:wordWrap/>
        <w:overflowPunct/>
        <w:topLinePunct w:val="0"/>
        <w:autoSpaceDE/>
        <w:autoSpaceDN/>
        <w:bidi w:val="0"/>
        <w:snapToGrid/>
        <w:spacing w:line="600" w:lineRule="exact"/>
        <w:ind w:leftChars="0"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第四节 社会责任实践</w:t>
      </w:r>
    </w:p>
    <w:p w14:paraId="39F59C0E">
      <w:pPr>
        <w:keepNext w:val="0"/>
        <w:keepLines w:val="0"/>
        <w:pageBreakBefore w:val="0"/>
        <w:numPr>
          <w:ilvl w:val="0"/>
          <w:numId w:val="0"/>
        </w:numPr>
        <w:tabs>
          <w:tab w:val="left" w:pos="381"/>
        </w:tabs>
        <w:kinsoku/>
        <w:wordWrap/>
        <w:overflowPunct/>
        <w:topLinePunct w:val="0"/>
        <w:autoSpaceDE/>
        <w:autoSpaceDN/>
        <w:bidi w:val="0"/>
        <w:snapToGrid/>
        <w:spacing w:line="600" w:lineRule="exact"/>
        <w:ind w:firstLine="2560" w:firstLineChars="800"/>
        <w:jc w:val="left"/>
        <w:textAlignment w:val="auto"/>
        <w:rPr>
          <w:rFonts w:hint="default" w:ascii="仿宋" w:hAnsi="仿宋" w:eastAsia="仿宋" w:cs="仿宋"/>
          <w:b w:val="0"/>
          <w:bCs w:val="0"/>
          <w:sz w:val="32"/>
          <w:szCs w:val="32"/>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val="0"/>
          <w:bCs w:val="0"/>
          <w:sz w:val="32"/>
          <w:szCs w:val="32"/>
          <w:highlight w:val="none"/>
          <w:lang w:val="en-US" w:eastAsia="zh-CN"/>
        </w:rPr>
        <w:t>第五节 责任展望</w:t>
      </w:r>
    </w:p>
    <w:p w14:paraId="7A1B6ED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第一节 社会责任概况</w:t>
      </w:r>
    </w:p>
    <w:p w14:paraId="62A57CE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一、报告概况</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14:paraId="14B7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534478D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lang w:val="en-US" w:eastAsia="zh-CN"/>
              </w:rPr>
              <w:t>报告时间范围</w:t>
            </w:r>
          </w:p>
        </w:tc>
        <w:tc>
          <w:tcPr>
            <w:tcW w:w="6803" w:type="dxa"/>
            <w:vAlign w:val="center"/>
          </w:tcPr>
          <w:p w14:paraId="77FF2EA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2024年1月1日至2024年12月31日，部分表述及数据适当追溯以往年份。</w:t>
            </w:r>
          </w:p>
        </w:tc>
      </w:tr>
      <w:tr w14:paraId="7B6F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14:paraId="0A6D434A">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lang w:val="en-US" w:eastAsia="zh-CN"/>
              </w:rPr>
              <w:t>报告发布周期</w:t>
            </w:r>
          </w:p>
        </w:tc>
        <w:tc>
          <w:tcPr>
            <w:tcW w:w="6803" w:type="dxa"/>
            <w:shd w:val="clear" w:color="auto" w:fill="DEEBF6" w:themeFill="accent1" w:themeFillTint="32"/>
            <w:vAlign w:val="center"/>
          </w:tcPr>
          <w:p w14:paraId="10303704">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本报告为年度报告。</w:t>
            </w:r>
          </w:p>
        </w:tc>
      </w:tr>
      <w:tr w14:paraId="3F1B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5707009C">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报告组织范围</w:t>
            </w:r>
          </w:p>
        </w:tc>
        <w:tc>
          <w:tcPr>
            <w:tcW w:w="6803" w:type="dxa"/>
            <w:vAlign w:val="center"/>
          </w:tcPr>
          <w:p w14:paraId="4C04CCC3">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桂阳沪农商村镇银行，为便于表达，在下述报告中简称为本行。</w:t>
            </w:r>
          </w:p>
        </w:tc>
      </w:tr>
      <w:tr w14:paraId="3B29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14:paraId="4736DF4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报告数据说明</w:t>
            </w:r>
          </w:p>
        </w:tc>
        <w:tc>
          <w:tcPr>
            <w:tcW w:w="6803" w:type="dxa"/>
            <w:shd w:val="clear" w:color="auto" w:fill="DEEBF6" w:themeFill="accent1" w:themeFillTint="32"/>
            <w:vAlign w:val="center"/>
          </w:tcPr>
          <w:p w14:paraId="01940D52">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本报告的数据主要源于桂阳沪农商村镇银行经营数据</w:t>
            </w:r>
          </w:p>
        </w:tc>
      </w:tr>
      <w:tr w14:paraId="2F48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1C5951A0">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报告编制依据</w:t>
            </w:r>
          </w:p>
        </w:tc>
        <w:tc>
          <w:tcPr>
            <w:tcW w:w="6803" w:type="dxa"/>
            <w:vAlign w:val="center"/>
          </w:tcPr>
          <w:p w14:paraId="36B99AFF">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原中国银监会《关于加强银行业金融机构社会责任的意见》</w:t>
            </w:r>
          </w:p>
          <w:p w14:paraId="770FA68C">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中国银行业协会《中国银行业金融机构企业社会责任指引》</w:t>
            </w:r>
          </w:p>
        </w:tc>
      </w:tr>
      <w:tr w14:paraId="656D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14:paraId="77D60A3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报告发布方式</w:t>
            </w:r>
          </w:p>
        </w:tc>
        <w:tc>
          <w:tcPr>
            <w:tcW w:w="6803" w:type="dxa"/>
            <w:shd w:val="clear" w:color="auto" w:fill="DEEBF6" w:themeFill="accent1" w:themeFillTint="32"/>
            <w:vAlign w:val="center"/>
          </w:tcPr>
          <w:p w14:paraId="26263D80">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报告以电子版形式发布，电子版查询及下载地址：http://guiy.srcbcz.com</w:t>
            </w:r>
          </w:p>
        </w:tc>
      </w:tr>
      <w:tr w14:paraId="4F68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14247408">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联系方式</w:t>
            </w:r>
          </w:p>
        </w:tc>
        <w:tc>
          <w:tcPr>
            <w:tcW w:w="6803" w:type="dxa"/>
            <w:vAlign w:val="center"/>
          </w:tcPr>
          <w:p w14:paraId="56384453">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部门：综合管理部</w:t>
            </w:r>
          </w:p>
          <w:p w14:paraId="01E9B7AD">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地址：</w:t>
            </w:r>
            <w:r>
              <w:rPr>
                <w:rFonts w:hint="eastAsia" w:ascii="仿宋" w:hAnsi="仿宋" w:eastAsia="仿宋" w:cs="仿宋"/>
                <w:color w:val="auto"/>
                <w:sz w:val="28"/>
                <w:szCs w:val="28"/>
                <w:highlight w:val="none"/>
              </w:rPr>
              <w:t>湖南省</w:t>
            </w:r>
            <w:r>
              <w:rPr>
                <w:rFonts w:hint="eastAsia" w:ascii="仿宋" w:hAnsi="仿宋" w:eastAsia="仿宋" w:cs="仿宋"/>
                <w:color w:val="auto"/>
                <w:sz w:val="28"/>
                <w:szCs w:val="28"/>
                <w:highlight w:val="none"/>
                <w:lang w:eastAsia="zh-CN"/>
              </w:rPr>
              <w:t>郴州市桂阳县龙潭街道文化路</w:t>
            </w:r>
            <w:r>
              <w:rPr>
                <w:rFonts w:hint="eastAsia" w:ascii="仿宋" w:hAnsi="仿宋" w:eastAsia="仿宋" w:cs="仿宋"/>
                <w:color w:val="auto"/>
                <w:sz w:val="28"/>
                <w:szCs w:val="28"/>
                <w:highlight w:val="none"/>
                <w:lang w:val="en-US" w:eastAsia="zh-CN"/>
              </w:rPr>
              <w:t>128号</w:t>
            </w:r>
          </w:p>
          <w:p w14:paraId="477DAD7B">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电话：0735-2491855</w:t>
            </w:r>
          </w:p>
        </w:tc>
      </w:tr>
    </w:tbl>
    <w:p w14:paraId="4A768C7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rPr>
        <w:sectPr>
          <w:footerReference r:id="rId4" w:type="default"/>
          <w:pgSz w:w="11906" w:h="16838"/>
          <w:pgMar w:top="1440" w:right="1800" w:bottom="1440" w:left="1800" w:header="851" w:footer="992" w:gutter="0"/>
          <w:pgNumType w:fmt="decimal"/>
          <w:cols w:space="425" w:num="1"/>
          <w:docGrid w:type="lines" w:linePitch="312" w:charSpace="0"/>
        </w:sectPr>
      </w:pPr>
    </w:p>
    <w:p w14:paraId="4B0F61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二、公司简介</w:t>
      </w:r>
    </w:p>
    <w:p w14:paraId="01AD97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中文名称：</w:t>
      </w:r>
      <w:r>
        <w:rPr>
          <w:rFonts w:hint="eastAsia" w:ascii="仿宋" w:hAnsi="仿宋" w:eastAsia="仿宋" w:cs="仿宋"/>
          <w:color w:val="auto"/>
          <w:sz w:val="32"/>
          <w:szCs w:val="32"/>
          <w:highlight w:val="none"/>
          <w:lang w:eastAsia="zh-CN"/>
        </w:rPr>
        <w:t>桂阳</w:t>
      </w:r>
      <w:r>
        <w:rPr>
          <w:rFonts w:hint="eastAsia" w:ascii="仿宋" w:hAnsi="仿宋" w:eastAsia="仿宋" w:cs="仿宋"/>
          <w:color w:val="auto"/>
          <w:sz w:val="32"/>
          <w:szCs w:val="32"/>
          <w:highlight w:val="none"/>
        </w:rPr>
        <w:t>沪农商村镇银行股份有限公司（简称：</w:t>
      </w:r>
      <w:r>
        <w:rPr>
          <w:rFonts w:hint="eastAsia" w:ascii="仿宋" w:hAnsi="仿宋" w:eastAsia="仿宋" w:cs="仿宋"/>
          <w:color w:val="auto"/>
          <w:sz w:val="32"/>
          <w:szCs w:val="32"/>
          <w:highlight w:val="none"/>
          <w:lang w:eastAsia="zh-CN"/>
        </w:rPr>
        <w:t>桂阳本行</w:t>
      </w:r>
      <w:r>
        <w:rPr>
          <w:rFonts w:hint="eastAsia" w:ascii="仿宋" w:hAnsi="仿宋" w:eastAsia="仿宋" w:cs="仿宋"/>
          <w:color w:val="auto"/>
          <w:sz w:val="32"/>
          <w:szCs w:val="32"/>
          <w:highlight w:val="none"/>
        </w:rPr>
        <w:t>）</w:t>
      </w:r>
    </w:p>
    <w:p w14:paraId="4993EE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英文名称：</w:t>
      </w:r>
      <w:r>
        <w:rPr>
          <w:rFonts w:hint="eastAsia" w:ascii="仿宋" w:hAnsi="仿宋" w:eastAsia="仿宋" w:cs="仿宋"/>
          <w:color w:val="auto"/>
          <w:sz w:val="32"/>
          <w:szCs w:val="32"/>
          <w:highlight w:val="none"/>
          <w:lang w:val="en-US" w:eastAsia="zh-CN"/>
        </w:rPr>
        <w:t>GUIYANG</w:t>
      </w:r>
      <w:r>
        <w:rPr>
          <w:rFonts w:hint="eastAsia" w:ascii="仿宋" w:hAnsi="仿宋" w:eastAsia="仿宋" w:cs="仿宋"/>
          <w:color w:val="auto"/>
          <w:sz w:val="32"/>
          <w:szCs w:val="32"/>
          <w:highlight w:val="none"/>
        </w:rPr>
        <w:t xml:space="preserve"> S</w:t>
      </w:r>
      <w:r>
        <w:rPr>
          <w:rFonts w:hint="eastAsia" w:ascii="仿宋" w:hAnsi="仿宋" w:eastAsia="仿宋" w:cs="仿宋"/>
          <w:color w:val="auto"/>
          <w:sz w:val="32"/>
          <w:szCs w:val="32"/>
          <w:highlight w:val="none"/>
          <w:lang w:val="en-US" w:eastAsia="zh-CN"/>
        </w:rPr>
        <w:t>H</w:t>
      </w:r>
      <w:r>
        <w:rPr>
          <w:rFonts w:hint="eastAsia" w:ascii="仿宋" w:hAnsi="仿宋" w:eastAsia="仿宋" w:cs="仿宋"/>
          <w:color w:val="auto"/>
          <w:sz w:val="32"/>
          <w:szCs w:val="32"/>
          <w:highlight w:val="none"/>
        </w:rPr>
        <w:t>RCB RURAL BANK　　</w:t>
      </w:r>
    </w:p>
    <w:p w14:paraId="71B04D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公司类型：股份有限公司</w:t>
      </w:r>
    </w:p>
    <w:p w14:paraId="70844F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注册资本：伍仟万元整</w:t>
      </w:r>
    </w:p>
    <w:p w14:paraId="775696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成立日期：2012年7月</w:t>
      </w: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日</w:t>
      </w:r>
    </w:p>
    <w:p w14:paraId="58252F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营业期限：长期</w:t>
      </w:r>
    </w:p>
    <w:p w14:paraId="6449A0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法人代表：</w:t>
      </w:r>
      <w:r>
        <w:rPr>
          <w:rFonts w:hint="eastAsia" w:ascii="仿宋" w:hAnsi="仿宋" w:eastAsia="仿宋" w:cs="仿宋"/>
          <w:color w:val="auto"/>
          <w:sz w:val="32"/>
          <w:szCs w:val="32"/>
          <w:highlight w:val="none"/>
          <w:lang w:val="en-US" w:eastAsia="zh-CN"/>
        </w:rPr>
        <w:t>尹日升</w:t>
      </w:r>
    </w:p>
    <w:p w14:paraId="58AAD7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注册地址：湖南省</w:t>
      </w:r>
      <w:r>
        <w:rPr>
          <w:rFonts w:hint="eastAsia" w:ascii="仿宋" w:hAnsi="仿宋" w:eastAsia="仿宋" w:cs="仿宋"/>
          <w:color w:val="auto"/>
          <w:sz w:val="32"/>
          <w:szCs w:val="32"/>
          <w:highlight w:val="none"/>
          <w:lang w:eastAsia="zh-CN"/>
        </w:rPr>
        <w:t>郴州市桂阳县龙潭街道文化路</w:t>
      </w:r>
      <w:r>
        <w:rPr>
          <w:rFonts w:hint="eastAsia" w:ascii="仿宋" w:hAnsi="仿宋" w:eastAsia="仿宋" w:cs="仿宋"/>
          <w:color w:val="auto"/>
          <w:sz w:val="32"/>
          <w:szCs w:val="32"/>
          <w:highlight w:val="none"/>
          <w:lang w:val="en-US" w:eastAsia="zh-CN"/>
        </w:rPr>
        <w:t>128号</w:t>
      </w:r>
    </w:p>
    <w:p w14:paraId="5F3F09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lang w:val="en-US" w:eastAsia="zh-CN"/>
        </w:rPr>
        <w:t>4244</w:t>
      </w:r>
      <w:r>
        <w:rPr>
          <w:rFonts w:hint="eastAsia" w:ascii="仿宋" w:hAnsi="仿宋" w:eastAsia="仿宋" w:cs="仿宋"/>
          <w:color w:val="auto"/>
          <w:sz w:val="32"/>
          <w:szCs w:val="32"/>
          <w:highlight w:val="none"/>
        </w:rPr>
        <w:t>00</w:t>
      </w:r>
    </w:p>
    <w:p w14:paraId="10B36F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网址：http://guiy.srcbcz.com/index.shtml</w:t>
      </w:r>
    </w:p>
    <w:p w14:paraId="1314C9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注册登记机关：</w:t>
      </w:r>
      <w:r>
        <w:rPr>
          <w:rFonts w:hint="eastAsia" w:ascii="仿宋" w:hAnsi="仿宋" w:eastAsia="仿宋" w:cs="仿宋"/>
          <w:color w:val="auto"/>
          <w:sz w:val="32"/>
          <w:szCs w:val="32"/>
          <w:highlight w:val="none"/>
          <w:lang w:eastAsia="zh-CN"/>
        </w:rPr>
        <w:t>郴州</w:t>
      </w:r>
      <w:r>
        <w:rPr>
          <w:rFonts w:hint="eastAsia" w:ascii="仿宋" w:hAnsi="仿宋" w:eastAsia="仿宋" w:cs="仿宋"/>
          <w:color w:val="auto"/>
          <w:sz w:val="32"/>
          <w:szCs w:val="32"/>
          <w:highlight w:val="none"/>
        </w:rPr>
        <w:t>市工商行政管理局</w:t>
      </w:r>
    </w:p>
    <w:p w14:paraId="2D52DC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营业执照注册号：</w:t>
      </w:r>
      <w:r>
        <w:rPr>
          <w:rFonts w:hint="eastAsia" w:ascii="仿宋" w:hAnsi="仿宋" w:eastAsia="仿宋" w:cs="仿宋"/>
          <w:color w:val="auto"/>
          <w:sz w:val="32"/>
          <w:szCs w:val="32"/>
          <w:highlight w:val="none"/>
          <w:lang w:val="en-US" w:eastAsia="zh-CN"/>
        </w:rPr>
        <w:t>9143100059941193XK</w:t>
      </w:r>
    </w:p>
    <w:p w14:paraId="5E3430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金融许可证机构编码 ：S002</w:t>
      </w:r>
      <w:r>
        <w:rPr>
          <w:rFonts w:hint="eastAsia" w:ascii="仿宋" w:hAnsi="仿宋" w:eastAsia="仿宋" w:cs="仿宋"/>
          <w:color w:val="auto"/>
          <w:sz w:val="32"/>
          <w:szCs w:val="32"/>
          <w:highlight w:val="none"/>
          <w:lang w:val="en-US" w:eastAsia="zh-CN"/>
        </w:rPr>
        <w:t>4H343100001</w:t>
      </w:r>
    </w:p>
    <w:p w14:paraId="617A0A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客户服务热线：4009962999</w:t>
      </w:r>
    </w:p>
    <w:p w14:paraId="57887E2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kern w:val="0"/>
          <w:sz w:val="32"/>
          <w:szCs w:val="32"/>
          <w:highlight w:val="none"/>
        </w:rPr>
        <w:t>桂阳沪农商村镇银行</w:t>
      </w:r>
      <w:r>
        <w:rPr>
          <w:rFonts w:hint="eastAsia" w:ascii="仿宋" w:hAnsi="仿宋" w:eastAsia="仿宋" w:cs="仿宋"/>
          <w:kern w:val="0"/>
          <w:sz w:val="32"/>
          <w:szCs w:val="32"/>
          <w:highlight w:val="none"/>
          <w:lang w:eastAsia="zh-CN"/>
        </w:rPr>
        <w:t>是一家小而美的小微银行，</w:t>
      </w:r>
      <w:r>
        <w:rPr>
          <w:rFonts w:hint="eastAsia" w:ascii="仿宋" w:hAnsi="仿宋" w:eastAsia="仿宋" w:cs="仿宋"/>
          <w:kern w:val="0"/>
          <w:sz w:val="32"/>
          <w:szCs w:val="32"/>
          <w:highlight w:val="none"/>
        </w:rPr>
        <w:t>打造</w:t>
      </w:r>
      <w:r>
        <w:rPr>
          <w:rFonts w:hint="eastAsia" w:ascii="仿宋" w:hAnsi="仿宋" w:eastAsia="仿宋" w:cs="仿宋"/>
          <w:kern w:val="0"/>
          <w:sz w:val="32"/>
          <w:szCs w:val="32"/>
          <w:highlight w:val="none"/>
          <w:lang w:eastAsia="zh-CN"/>
        </w:rPr>
        <w:t>最</w:t>
      </w:r>
      <w:r>
        <w:rPr>
          <w:rFonts w:hint="eastAsia" w:ascii="仿宋" w:hAnsi="仿宋" w:eastAsia="仿宋" w:cs="仿宋"/>
          <w:kern w:val="0"/>
          <w:sz w:val="32"/>
          <w:szCs w:val="32"/>
          <w:highlight w:val="none"/>
        </w:rPr>
        <w:t>具核心竞争力和创新力为目标，坚持“扎根县域、支农支小、灵活创新、高效便捷”的经营特点，发挥贴近市场、决策链短、机制灵活的优势，因地制宜制定信贷政策、创新金融产品，为广大农民、社区居民、中小企业和个体工商户提供存款、贷款、结算、代理等多种金融服务，满足城乡经济主体多元化的金融服务需求。开业1</w:t>
      </w:r>
      <w:r>
        <w:rPr>
          <w:rFonts w:hint="eastAsia" w:ascii="仿宋" w:hAnsi="仿宋" w:eastAsia="仿宋" w:cs="仿宋"/>
          <w:kern w:val="0"/>
          <w:sz w:val="32"/>
          <w:szCs w:val="32"/>
          <w:highlight w:val="none"/>
          <w:lang w:val="en-US" w:eastAsia="zh-CN"/>
        </w:rPr>
        <w:t>2</w:t>
      </w:r>
      <w:r>
        <w:rPr>
          <w:rFonts w:hint="eastAsia" w:ascii="仿宋" w:hAnsi="仿宋" w:eastAsia="仿宋" w:cs="仿宋"/>
          <w:kern w:val="0"/>
          <w:sz w:val="32"/>
          <w:szCs w:val="32"/>
          <w:highlight w:val="none"/>
        </w:rPr>
        <w:t>年，始终坚持支农支小的市场定位，在促进中小微企业发展以及全县精准脱贫中做出了一定的贡献。先后荣获“湖南沪农商村镇银行综合考核一等奖”“全国百强村镇银行”“明星村镇银行”“慈善企业”等荣誉称号</w:t>
      </w:r>
      <w:r>
        <w:rPr>
          <w:rFonts w:hint="eastAsia" w:ascii="仿宋" w:hAnsi="仿宋" w:eastAsia="仿宋" w:cs="仿宋"/>
          <w:kern w:val="0"/>
          <w:sz w:val="32"/>
          <w:szCs w:val="32"/>
          <w:highlight w:val="none"/>
          <w:lang w:val="en-US" w:eastAsia="zh-CN"/>
        </w:rPr>
        <w:t>，</w:t>
      </w:r>
      <w:r>
        <w:rPr>
          <w:rFonts w:hint="eastAsia" w:ascii="仿宋" w:hAnsi="仿宋" w:eastAsia="仿宋" w:cs="仿宋"/>
          <w:kern w:val="0"/>
          <w:sz w:val="32"/>
          <w:szCs w:val="32"/>
          <w:highlight w:val="none"/>
        </w:rPr>
        <w:t>未尽内容，参见《</w:t>
      </w:r>
      <w:r>
        <w:rPr>
          <w:rFonts w:hint="eastAsia" w:ascii="仿宋" w:hAnsi="仿宋" w:eastAsia="仿宋" w:cs="仿宋"/>
          <w:kern w:val="0"/>
          <w:sz w:val="32"/>
          <w:szCs w:val="32"/>
          <w:highlight w:val="none"/>
          <w:lang w:eastAsia="zh-CN"/>
        </w:rPr>
        <w:t>桂阳</w:t>
      </w:r>
      <w:r>
        <w:rPr>
          <w:rFonts w:hint="eastAsia" w:ascii="仿宋" w:hAnsi="仿宋" w:eastAsia="仿宋" w:cs="仿宋"/>
          <w:kern w:val="0"/>
          <w:sz w:val="32"/>
          <w:szCs w:val="32"/>
          <w:highlight w:val="none"/>
        </w:rPr>
        <w:t>沪农商村镇银行</w:t>
      </w:r>
      <w:r>
        <w:rPr>
          <w:rFonts w:hint="eastAsia" w:ascii="仿宋" w:hAnsi="仿宋" w:eastAsia="仿宋" w:cs="仿宋"/>
          <w:kern w:val="0"/>
          <w:sz w:val="32"/>
          <w:szCs w:val="32"/>
          <w:highlight w:val="none"/>
          <w:lang w:eastAsia="zh-CN"/>
        </w:rPr>
        <w:t>202</w:t>
      </w:r>
      <w:r>
        <w:rPr>
          <w:rFonts w:hint="eastAsia" w:ascii="仿宋" w:hAnsi="仿宋" w:eastAsia="仿宋" w:cs="仿宋"/>
          <w:kern w:val="0"/>
          <w:sz w:val="32"/>
          <w:szCs w:val="32"/>
          <w:highlight w:val="none"/>
          <w:lang w:val="en-US" w:eastAsia="zh-CN"/>
        </w:rPr>
        <w:t>4</w:t>
      </w:r>
      <w:r>
        <w:rPr>
          <w:rFonts w:hint="eastAsia" w:ascii="仿宋" w:hAnsi="仿宋" w:eastAsia="仿宋" w:cs="仿宋"/>
          <w:kern w:val="0"/>
          <w:sz w:val="32"/>
          <w:szCs w:val="32"/>
          <w:highlight w:val="none"/>
        </w:rPr>
        <w:t>年度信息披露报告》。</w:t>
      </w:r>
    </w:p>
    <w:tbl>
      <w:tblPr>
        <w:tblStyle w:val="13"/>
        <w:tblpPr w:leftFromText="180" w:rightFromText="180" w:vertAnchor="text" w:horzAnchor="page" w:tblpX="1782" w:tblpY="588"/>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14:paraId="4FC1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14:paraId="41B58FE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w:t>
            </w:r>
          </w:p>
        </w:tc>
        <w:tc>
          <w:tcPr>
            <w:tcW w:w="1134" w:type="dxa"/>
            <w:shd w:val="clear" w:color="auto" w:fill="DEEBF6" w:themeFill="accent1" w:themeFillTint="32"/>
            <w:vAlign w:val="center"/>
          </w:tcPr>
          <w:p w14:paraId="231CA79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1" w:type="dxa"/>
            <w:shd w:val="clear" w:color="auto" w:fill="DEEBF6" w:themeFill="accent1" w:themeFillTint="32"/>
            <w:vAlign w:val="center"/>
          </w:tcPr>
          <w:p w14:paraId="57358A7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2022年</w:t>
            </w:r>
          </w:p>
        </w:tc>
        <w:tc>
          <w:tcPr>
            <w:tcW w:w="1701" w:type="dxa"/>
            <w:shd w:val="clear" w:color="auto" w:fill="DEEBF6" w:themeFill="accent1" w:themeFillTint="32"/>
            <w:vAlign w:val="center"/>
          </w:tcPr>
          <w:p w14:paraId="4B6F2B2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2023年</w:t>
            </w:r>
          </w:p>
        </w:tc>
        <w:tc>
          <w:tcPr>
            <w:tcW w:w="1701" w:type="dxa"/>
            <w:shd w:val="clear" w:color="auto" w:fill="DEEBF6" w:themeFill="accent1" w:themeFillTint="32"/>
            <w:vAlign w:val="center"/>
          </w:tcPr>
          <w:p w14:paraId="7304D9C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2024年</w:t>
            </w:r>
          </w:p>
        </w:tc>
      </w:tr>
      <w:tr w14:paraId="79B3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14:paraId="123A172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经济责任</w:t>
            </w:r>
          </w:p>
        </w:tc>
      </w:tr>
      <w:tr w14:paraId="55BB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17C53A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资产总额</w:t>
            </w:r>
          </w:p>
        </w:tc>
        <w:tc>
          <w:tcPr>
            <w:tcW w:w="1134" w:type="dxa"/>
            <w:vAlign w:val="center"/>
          </w:tcPr>
          <w:p w14:paraId="1CB1D7B5">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CA73B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144059.16</w:t>
            </w:r>
          </w:p>
        </w:tc>
        <w:tc>
          <w:tcPr>
            <w:tcW w:w="1701" w:type="dxa"/>
            <w:vAlign w:val="center"/>
          </w:tcPr>
          <w:p w14:paraId="002BE9B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162144.28</w:t>
            </w:r>
          </w:p>
        </w:tc>
        <w:tc>
          <w:tcPr>
            <w:tcW w:w="1701" w:type="dxa"/>
            <w:shd w:val="clear" w:color="auto" w:fill="auto"/>
            <w:vAlign w:val="center"/>
          </w:tcPr>
          <w:p w14:paraId="384CF66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163118.45</w:t>
            </w:r>
          </w:p>
        </w:tc>
      </w:tr>
      <w:tr w14:paraId="3D33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084223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存款余额</w:t>
            </w:r>
          </w:p>
        </w:tc>
        <w:tc>
          <w:tcPr>
            <w:tcW w:w="1134" w:type="dxa"/>
            <w:vAlign w:val="center"/>
          </w:tcPr>
          <w:p w14:paraId="016FD4A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45E199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123450.38</w:t>
            </w:r>
          </w:p>
        </w:tc>
        <w:tc>
          <w:tcPr>
            <w:tcW w:w="1701" w:type="dxa"/>
            <w:vAlign w:val="center"/>
          </w:tcPr>
          <w:p w14:paraId="0E3113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142016.46</w:t>
            </w:r>
          </w:p>
        </w:tc>
        <w:tc>
          <w:tcPr>
            <w:tcW w:w="1701" w:type="dxa"/>
            <w:shd w:val="clear" w:color="auto" w:fill="auto"/>
            <w:vAlign w:val="center"/>
          </w:tcPr>
          <w:p w14:paraId="16B332F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142697.70</w:t>
            </w:r>
          </w:p>
        </w:tc>
      </w:tr>
      <w:tr w14:paraId="5EEA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8B995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贷款余额</w:t>
            </w:r>
          </w:p>
        </w:tc>
        <w:tc>
          <w:tcPr>
            <w:tcW w:w="1134" w:type="dxa"/>
            <w:vAlign w:val="center"/>
          </w:tcPr>
          <w:p w14:paraId="2B7A034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1E785B6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103669.97</w:t>
            </w:r>
          </w:p>
        </w:tc>
        <w:tc>
          <w:tcPr>
            <w:tcW w:w="1701" w:type="dxa"/>
            <w:vAlign w:val="center"/>
          </w:tcPr>
          <w:p w14:paraId="7CD8E0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114878.74</w:t>
            </w:r>
          </w:p>
        </w:tc>
        <w:tc>
          <w:tcPr>
            <w:tcW w:w="1701" w:type="dxa"/>
            <w:shd w:val="clear" w:color="auto" w:fill="auto"/>
            <w:vAlign w:val="center"/>
          </w:tcPr>
          <w:p w14:paraId="7F025F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113970.09</w:t>
            </w:r>
          </w:p>
        </w:tc>
      </w:tr>
      <w:tr w14:paraId="21CC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8711C8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营业收入</w:t>
            </w:r>
          </w:p>
        </w:tc>
        <w:tc>
          <w:tcPr>
            <w:tcW w:w="1134" w:type="dxa"/>
            <w:vAlign w:val="center"/>
          </w:tcPr>
          <w:p w14:paraId="448FA29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7CAED2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4338.07</w:t>
            </w:r>
          </w:p>
        </w:tc>
        <w:tc>
          <w:tcPr>
            <w:tcW w:w="1701" w:type="dxa"/>
            <w:vAlign w:val="center"/>
          </w:tcPr>
          <w:p w14:paraId="5407C8A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4988.02</w:t>
            </w:r>
          </w:p>
        </w:tc>
        <w:tc>
          <w:tcPr>
            <w:tcW w:w="1701" w:type="dxa"/>
            <w:shd w:val="clear" w:color="auto" w:fill="auto"/>
            <w:vAlign w:val="center"/>
          </w:tcPr>
          <w:p w14:paraId="76C54E3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4609.11</w:t>
            </w:r>
          </w:p>
        </w:tc>
      </w:tr>
      <w:tr w14:paraId="4DE1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133A973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员工薪酬</w:t>
            </w:r>
          </w:p>
        </w:tc>
        <w:tc>
          <w:tcPr>
            <w:tcW w:w="1134" w:type="dxa"/>
            <w:vAlign w:val="center"/>
          </w:tcPr>
          <w:p w14:paraId="73945D9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EF39F6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1126.52</w:t>
            </w:r>
          </w:p>
        </w:tc>
        <w:tc>
          <w:tcPr>
            <w:tcW w:w="1701" w:type="dxa"/>
            <w:vAlign w:val="center"/>
          </w:tcPr>
          <w:p w14:paraId="5006E2B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984.40</w:t>
            </w:r>
          </w:p>
        </w:tc>
        <w:tc>
          <w:tcPr>
            <w:tcW w:w="1701" w:type="dxa"/>
            <w:shd w:val="clear" w:color="auto" w:fill="auto"/>
            <w:vAlign w:val="center"/>
          </w:tcPr>
          <w:p w14:paraId="69642F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1037.80</w:t>
            </w:r>
          </w:p>
        </w:tc>
      </w:tr>
      <w:tr w14:paraId="673E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4D0F91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利息支出</w:t>
            </w:r>
          </w:p>
        </w:tc>
        <w:tc>
          <w:tcPr>
            <w:tcW w:w="1134" w:type="dxa"/>
            <w:vAlign w:val="center"/>
          </w:tcPr>
          <w:p w14:paraId="60C28C3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96F8B3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2474.18</w:t>
            </w:r>
          </w:p>
        </w:tc>
        <w:tc>
          <w:tcPr>
            <w:tcW w:w="1701" w:type="dxa"/>
            <w:vAlign w:val="center"/>
          </w:tcPr>
          <w:p w14:paraId="2617F3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3054.70</w:t>
            </w:r>
          </w:p>
        </w:tc>
        <w:tc>
          <w:tcPr>
            <w:tcW w:w="1701" w:type="dxa"/>
            <w:shd w:val="clear" w:color="auto" w:fill="auto"/>
            <w:vAlign w:val="center"/>
          </w:tcPr>
          <w:p w14:paraId="622656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3205.40</w:t>
            </w:r>
          </w:p>
        </w:tc>
      </w:tr>
      <w:tr w14:paraId="36AA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197CC6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纳税总额</w:t>
            </w:r>
          </w:p>
        </w:tc>
        <w:tc>
          <w:tcPr>
            <w:tcW w:w="1134" w:type="dxa"/>
            <w:vAlign w:val="center"/>
          </w:tcPr>
          <w:p w14:paraId="67CF6927">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2658FC0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520.30</w:t>
            </w:r>
          </w:p>
        </w:tc>
        <w:tc>
          <w:tcPr>
            <w:tcW w:w="1701" w:type="dxa"/>
            <w:vAlign w:val="center"/>
          </w:tcPr>
          <w:p w14:paraId="224235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540.00</w:t>
            </w:r>
          </w:p>
        </w:tc>
        <w:tc>
          <w:tcPr>
            <w:tcW w:w="1701" w:type="dxa"/>
            <w:shd w:val="clear" w:color="auto" w:fill="auto"/>
            <w:vAlign w:val="center"/>
          </w:tcPr>
          <w:p w14:paraId="37CD43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645.00</w:t>
            </w:r>
          </w:p>
        </w:tc>
      </w:tr>
      <w:tr w14:paraId="200A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DF9017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股利分配</w:t>
            </w:r>
          </w:p>
        </w:tc>
        <w:tc>
          <w:tcPr>
            <w:tcW w:w="1134" w:type="dxa"/>
            <w:vAlign w:val="center"/>
          </w:tcPr>
          <w:p w14:paraId="385F7975">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2D8AA9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400.00</w:t>
            </w:r>
          </w:p>
        </w:tc>
        <w:tc>
          <w:tcPr>
            <w:tcW w:w="1701" w:type="dxa"/>
            <w:vAlign w:val="center"/>
          </w:tcPr>
          <w:p w14:paraId="6FB1D2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300.00</w:t>
            </w:r>
          </w:p>
        </w:tc>
        <w:tc>
          <w:tcPr>
            <w:tcW w:w="1701" w:type="dxa"/>
            <w:shd w:val="clear" w:color="auto" w:fill="auto"/>
            <w:vAlign w:val="center"/>
          </w:tcPr>
          <w:p w14:paraId="5C0D43A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50.00</w:t>
            </w:r>
          </w:p>
        </w:tc>
      </w:tr>
      <w:tr w14:paraId="44E8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5242885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净利润</w:t>
            </w:r>
          </w:p>
        </w:tc>
        <w:tc>
          <w:tcPr>
            <w:tcW w:w="1134" w:type="dxa"/>
            <w:vAlign w:val="center"/>
          </w:tcPr>
          <w:p w14:paraId="15321A3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5089A2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1004.17</w:t>
            </w:r>
          </w:p>
        </w:tc>
        <w:tc>
          <w:tcPr>
            <w:tcW w:w="1701" w:type="dxa"/>
            <w:vAlign w:val="center"/>
          </w:tcPr>
          <w:p w14:paraId="16FD10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787.03</w:t>
            </w:r>
          </w:p>
        </w:tc>
        <w:tc>
          <w:tcPr>
            <w:tcW w:w="1701" w:type="dxa"/>
            <w:shd w:val="clear" w:color="auto" w:fill="auto"/>
            <w:vAlign w:val="center"/>
          </w:tcPr>
          <w:p w14:paraId="1F62D1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135.93</w:t>
            </w:r>
          </w:p>
        </w:tc>
      </w:tr>
      <w:tr w14:paraId="7C1E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01ED896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资产收益率</w:t>
            </w:r>
          </w:p>
        </w:tc>
        <w:tc>
          <w:tcPr>
            <w:tcW w:w="1134" w:type="dxa"/>
            <w:vAlign w:val="center"/>
          </w:tcPr>
          <w:p w14:paraId="359AED8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73ED67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0.73</w:t>
            </w:r>
          </w:p>
        </w:tc>
        <w:tc>
          <w:tcPr>
            <w:tcW w:w="1701" w:type="dxa"/>
            <w:vAlign w:val="center"/>
          </w:tcPr>
          <w:p w14:paraId="7036BE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0.51</w:t>
            </w:r>
          </w:p>
        </w:tc>
        <w:tc>
          <w:tcPr>
            <w:tcW w:w="1701" w:type="dxa"/>
            <w:shd w:val="clear" w:color="auto" w:fill="auto"/>
            <w:vAlign w:val="center"/>
          </w:tcPr>
          <w:p w14:paraId="3F4C58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0.08</w:t>
            </w:r>
          </w:p>
        </w:tc>
      </w:tr>
      <w:tr w14:paraId="4A53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394716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净资产收益率</w:t>
            </w:r>
          </w:p>
        </w:tc>
        <w:tc>
          <w:tcPr>
            <w:tcW w:w="1134" w:type="dxa"/>
            <w:vAlign w:val="center"/>
          </w:tcPr>
          <w:p w14:paraId="1DBD98E7">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18591E4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6.82</w:t>
            </w:r>
          </w:p>
        </w:tc>
        <w:tc>
          <w:tcPr>
            <w:tcW w:w="1701" w:type="dxa"/>
            <w:vAlign w:val="center"/>
          </w:tcPr>
          <w:p w14:paraId="56E747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5.18</w:t>
            </w:r>
          </w:p>
        </w:tc>
        <w:tc>
          <w:tcPr>
            <w:tcW w:w="1701" w:type="dxa"/>
            <w:shd w:val="clear" w:color="auto" w:fill="auto"/>
            <w:vAlign w:val="center"/>
          </w:tcPr>
          <w:p w14:paraId="718FFED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0.89</w:t>
            </w:r>
          </w:p>
        </w:tc>
      </w:tr>
      <w:tr w14:paraId="1300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0591388">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核心资产充足率</w:t>
            </w:r>
          </w:p>
        </w:tc>
        <w:tc>
          <w:tcPr>
            <w:tcW w:w="1134" w:type="dxa"/>
            <w:vAlign w:val="center"/>
          </w:tcPr>
          <w:p w14:paraId="2E3CCD2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559A7D5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18.03</w:t>
            </w:r>
          </w:p>
        </w:tc>
        <w:tc>
          <w:tcPr>
            <w:tcW w:w="1701" w:type="dxa"/>
            <w:vAlign w:val="center"/>
          </w:tcPr>
          <w:p w14:paraId="00F8758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16.35</w:t>
            </w:r>
          </w:p>
        </w:tc>
        <w:tc>
          <w:tcPr>
            <w:tcW w:w="1701" w:type="dxa"/>
            <w:shd w:val="clear" w:color="auto" w:fill="auto"/>
            <w:vAlign w:val="center"/>
          </w:tcPr>
          <w:p w14:paraId="13D9D2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17.65</w:t>
            </w:r>
          </w:p>
        </w:tc>
      </w:tr>
      <w:tr w14:paraId="5234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546796F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资本充足率</w:t>
            </w:r>
          </w:p>
        </w:tc>
        <w:tc>
          <w:tcPr>
            <w:tcW w:w="1134" w:type="dxa"/>
            <w:vAlign w:val="center"/>
          </w:tcPr>
          <w:p w14:paraId="2B1BAE3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1F07E06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19.16</w:t>
            </w:r>
          </w:p>
        </w:tc>
        <w:tc>
          <w:tcPr>
            <w:tcW w:w="1701" w:type="dxa"/>
            <w:vAlign w:val="center"/>
          </w:tcPr>
          <w:p w14:paraId="0FA4A5D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17.48</w:t>
            </w:r>
          </w:p>
        </w:tc>
        <w:tc>
          <w:tcPr>
            <w:tcW w:w="1701" w:type="dxa"/>
            <w:shd w:val="clear" w:color="auto" w:fill="auto"/>
            <w:vAlign w:val="center"/>
          </w:tcPr>
          <w:p w14:paraId="12C09E9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20.07</w:t>
            </w:r>
          </w:p>
        </w:tc>
      </w:tr>
      <w:tr w14:paraId="6FBB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82C69E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不良贷款率</w:t>
            </w:r>
          </w:p>
        </w:tc>
        <w:tc>
          <w:tcPr>
            <w:tcW w:w="1134" w:type="dxa"/>
            <w:vAlign w:val="center"/>
          </w:tcPr>
          <w:p w14:paraId="0F3E7C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48A31D5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0.64</w:t>
            </w:r>
          </w:p>
        </w:tc>
        <w:tc>
          <w:tcPr>
            <w:tcW w:w="1701" w:type="dxa"/>
            <w:vAlign w:val="center"/>
          </w:tcPr>
          <w:p w14:paraId="59EA76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1.91</w:t>
            </w:r>
          </w:p>
        </w:tc>
        <w:tc>
          <w:tcPr>
            <w:tcW w:w="1701" w:type="dxa"/>
            <w:shd w:val="clear" w:color="auto" w:fill="auto"/>
            <w:vAlign w:val="center"/>
          </w:tcPr>
          <w:p w14:paraId="31F61B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2.94</w:t>
            </w:r>
          </w:p>
        </w:tc>
      </w:tr>
      <w:tr w14:paraId="29E9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620183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拨备覆盖率</w:t>
            </w:r>
          </w:p>
        </w:tc>
        <w:tc>
          <w:tcPr>
            <w:tcW w:w="1134" w:type="dxa"/>
            <w:vAlign w:val="center"/>
          </w:tcPr>
          <w:p w14:paraId="387FB7D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24D9A9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507.13</w:t>
            </w:r>
          </w:p>
        </w:tc>
        <w:tc>
          <w:tcPr>
            <w:tcW w:w="1701" w:type="dxa"/>
            <w:vAlign w:val="center"/>
          </w:tcPr>
          <w:p w14:paraId="0088179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208.38</w:t>
            </w:r>
          </w:p>
        </w:tc>
        <w:tc>
          <w:tcPr>
            <w:tcW w:w="1701" w:type="dxa"/>
            <w:vAlign w:val="center"/>
          </w:tcPr>
          <w:p w14:paraId="7B16FF6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160.65</w:t>
            </w:r>
          </w:p>
        </w:tc>
      </w:tr>
      <w:tr w14:paraId="19CA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7C295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涉农贷款余额</w:t>
            </w:r>
          </w:p>
        </w:tc>
        <w:tc>
          <w:tcPr>
            <w:tcW w:w="1134" w:type="dxa"/>
            <w:vAlign w:val="center"/>
          </w:tcPr>
          <w:p w14:paraId="7814428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6A1C2D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96137.72</w:t>
            </w:r>
          </w:p>
        </w:tc>
        <w:tc>
          <w:tcPr>
            <w:tcW w:w="1701" w:type="dxa"/>
            <w:vAlign w:val="center"/>
          </w:tcPr>
          <w:p w14:paraId="1891BB9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108490.34</w:t>
            </w:r>
          </w:p>
        </w:tc>
        <w:tc>
          <w:tcPr>
            <w:tcW w:w="1701" w:type="dxa"/>
            <w:shd w:val="clear" w:color="auto" w:fill="auto"/>
            <w:vAlign w:val="center"/>
          </w:tcPr>
          <w:p w14:paraId="4F43619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108403.52</w:t>
            </w:r>
          </w:p>
        </w:tc>
      </w:tr>
      <w:tr w14:paraId="7C7E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28EC6A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小微企业贷款余额</w:t>
            </w:r>
          </w:p>
        </w:tc>
        <w:tc>
          <w:tcPr>
            <w:tcW w:w="1134" w:type="dxa"/>
            <w:vAlign w:val="center"/>
          </w:tcPr>
          <w:p w14:paraId="32E2936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6E461D91">
            <w:pPr>
              <w:keepNext w:val="0"/>
              <w:keepLines w:val="0"/>
              <w:widowControl/>
              <w:suppressLineNumbers w:val="0"/>
              <w:jc w:val="center"/>
              <w:textAlignment w:val="center"/>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41187.93</w:t>
            </w:r>
          </w:p>
        </w:tc>
        <w:tc>
          <w:tcPr>
            <w:tcW w:w="1701" w:type="dxa"/>
            <w:vAlign w:val="center"/>
          </w:tcPr>
          <w:p w14:paraId="069E0670">
            <w:pPr>
              <w:keepNext w:val="0"/>
              <w:keepLines w:val="0"/>
              <w:widowControl/>
              <w:suppressLineNumbers w:val="0"/>
              <w:jc w:val="center"/>
              <w:textAlignment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52308.59</w:t>
            </w:r>
          </w:p>
        </w:tc>
        <w:tc>
          <w:tcPr>
            <w:tcW w:w="1701" w:type="dxa"/>
            <w:shd w:val="clear" w:color="auto" w:fill="auto"/>
            <w:vAlign w:val="center"/>
          </w:tcPr>
          <w:p w14:paraId="503F730E">
            <w:pPr>
              <w:keepNext w:val="0"/>
              <w:keepLines w:val="0"/>
              <w:widowControl/>
              <w:suppressLineNumbers w:val="0"/>
              <w:jc w:val="center"/>
              <w:textAlignment w:val="center"/>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53334.58</w:t>
            </w:r>
          </w:p>
        </w:tc>
      </w:tr>
      <w:tr w14:paraId="2C4B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14:paraId="3CEADD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highlight w:val="none"/>
              </w:rPr>
            </w:pPr>
            <w:r>
              <w:rPr>
                <w:rFonts w:hint="eastAsia" w:ascii="仿宋" w:hAnsi="仿宋" w:eastAsia="仿宋" w:cs="仿宋"/>
                <w:b/>
                <w:bCs/>
                <w:sz w:val="28"/>
                <w:szCs w:val="28"/>
                <w:highlight w:val="none"/>
                <w:vertAlign w:val="baseline"/>
                <w:lang w:val="en-US" w:eastAsia="zh-CN"/>
              </w:rPr>
              <w:t>社会责任</w:t>
            </w:r>
          </w:p>
        </w:tc>
      </w:tr>
      <w:tr w14:paraId="24AB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E7BEB8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公益捐赠</w:t>
            </w:r>
          </w:p>
        </w:tc>
        <w:tc>
          <w:tcPr>
            <w:tcW w:w="1134" w:type="dxa"/>
            <w:vAlign w:val="center"/>
          </w:tcPr>
          <w:p w14:paraId="698EE7F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05022C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0</w:t>
            </w:r>
          </w:p>
        </w:tc>
        <w:tc>
          <w:tcPr>
            <w:tcW w:w="1701" w:type="dxa"/>
            <w:vAlign w:val="center"/>
          </w:tcPr>
          <w:p w14:paraId="4F4C8D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5</w:t>
            </w:r>
          </w:p>
        </w:tc>
        <w:tc>
          <w:tcPr>
            <w:tcW w:w="1701" w:type="dxa"/>
            <w:vAlign w:val="center"/>
          </w:tcPr>
          <w:p w14:paraId="6723296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3</w:t>
            </w:r>
          </w:p>
        </w:tc>
      </w:tr>
      <w:tr w14:paraId="158B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84E5C6C">
            <w:pPr>
              <w:keepNext w:val="0"/>
              <w:keepLines w:val="0"/>
              <w:pageBreakBefore w:val="0"/>
              <w:widowControl w:val="0"/>
              <w:numPr>
                <w:ilvl w:val="0"/>
                <w:numId w:val="0"/>
              </w:numPr>
              <w:tabs>
                <w:tab w:val="left" w:pos="1890"/>
              </w:tabs>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消费者权益保护费支出</w:t>
            </w:r>
          </w:p>
        </w:tc>
        <w:tc>
          <w:tcPr>
            <w:tcW w:w="1134" w:type="dxa"/>
            <w:vAlign w:val="center"/>
          </w:tcPr>
          <w:p w14:paraId="6C8D575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6841F3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2.0</w:t>
            </w:r>
          </w:p>
        </w:tc>
        <w:tc>
          <w:tcPr>
            <w:tcW w:w="1701" w:type="dxa"/>
            <w:vAlign w:val="center"/>
          </w:tcPr>
          <w:p w14:paraId="47067A9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2.1</w:t>
            </w:r>
          </w:p>
        </w:tc>
        <w:tc>
          <w:tcPr>
            <w:tcW w:w="1701" w:type="dxa"/>
            <w:vAlign w:val="center"/>
          </w:tcPr>
          <w:p w14:paraId="7957B38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2.2</w:t>
            </w:r>
          </w:p>
        </w:tc>
      </w:tr>
      <w:tr w14:paraId="2C36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4997F9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员工总数</w:t>
            </w:r>
          </w:p>
        </w:tc>
        <w:tc>
          <w:tcPr>
            <w:tcW w:w="1134" w:type="dxa"/>
            <w:vAlign w:val="center"/>
          </w:tcPr>
          <w:p w14:paraId="0667103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w:t>
            </w:r>
          </w:p>
        </w:tc>
        <w:tc>
          <w:tcPr>
            <w:tcW w:w="1701" w:type="dxa"/>
            <w:vAlign w:val="center"/>
          </w:tcPr>
          <w:p w14:paraId="68277FB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61</w:t>
            </w:r>
            <w:bookmarkStart w:id="0" w:name="_GoBack"/>
            <w:bookmarkEnd w:id="0"/>
          </w:p>
        </w:tc>
        <w:tc>
          <w:tcPr>
            <w:tcW w:w="1701" w:type="dxa"/>
            <w:vAlign w:val="center"/>
          </w:tcPr>
          <w:p w14:paraId="07FF9888">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60</w:t>
            </w:r>
          </w:p>
        </w:tc>
        <w:tc>
          <w:tcPr>
            <w:tcW w:w="1701" w:type="dxa"/>
            <w:shd w:val="clear" w:color="auto" w:fill="auto"/>
            <w:vAlign w:val="center"/>
          </w:tcPr>
          <w:p w14:paraId="75208965">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57</w:t>
            </w:r>
          </w:p>
        </w:tc>
      </w:tr>
      <w:tr w14:paraId="6706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E9AEEB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女性员工占比</w:t>
            </w:r>
          </w:p>
        </w:tc>
        <w:tc>
          <w:tcPr>
            <w:tcW w:w="1134" w:type="dxa"/>
            <w:vAlign w:val="center"/>
          </w:tcPr>
          <w:p w14:paraId="2B53BBB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0B11B8ED">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41</w:t>
            </w:r>
          </w:p>
        </w:tc>
        <w:tc>
          <w:tcPr>
            <w:tcW w:w="1701" w:type="dxa"/>
            <w:vAlign w:val="center"/>
          </w:tcPr>
          <w:p w14:paraId="34A8DCE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36</w:t>
            </w:r>
          </w:p>
        </w:tc>
        <w:tc>
          <w:tcPr>
            <w:tcW w:w="1701" w:type="dxa"/>
            <w:shd w:val="clear" w:color="auto" w:fill="auto"/>
            <w:vAlign w:val="center"/>
          </w:tcPr>
          <w:p w14:paraId="5347EB1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56.9</w:t>
            </w:r>
          </w:p>
        </w:tc>
      </w:tr>
      <w:tr w14:paraId="6414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0CF13E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员工流失率</w:t>
            </w:r>
          </w:p>
        </w:tc>
        <w:tc>
          <w:tcPr>
            <w:tcW w:w="1134" w:type="dxa"/>
            <w:vAlign w:val="center"/>
          </w:tcPr>
          <w:p w14:paraId="53039B4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2A11B5E1">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1</w:t>
            </w:r>
          </w:p>
        </w:tc>
        <w:tc>
          <w:tcPr>
            <w:tcW w:w="1701" w:type="dxa"/>
            <w:vAlign w:val="center"/>
          </w:tcPr>
          <w:p w14:paraId="46A7CE00">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8.96</w:t>
            </w:r>
          </w:p>
        </w:tc>
        <w:tc>
          <w:tcPr>
            <w:tcW w:w="1701" w:type="dxa"/>
            <w:shd w:val="clear" w:color="auto" w:fill="auto"/>
            <w:vAlign w:val="center"/>
          </w:tcPr>
          <w:p w14:paraId="38DBCB1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8.47</w:t>
            </w:r>
          </w:p>
        </w:tc>
      </w:tr>
      <w:tr w14:paraId="0C4A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072" w:type="dxa"/>
            <w:gridSpan w:val="5"/>
            <w:shd w:val="clear" w:color="auto" w:fill="DEEBF6" w:themeFill="accent1" w:themeFillTint="32"/>
            <w:vAlign w:val="center"/>
          </w:tcPr>
          <w:p w14:paraId="189AF21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highlight w:val="none"/>
              </w:rPr>
            </w:pPr>
            <w:r>
              <w:rPr>
                <w:rFonts w:hint="eastAsia" w:ascii="仿宋" w:hAnsi="仿宋" w:eastAsia="仿宋" w:cs="仿宋"/>
                <w:b/>
                <w:bCs/>
                <w:sz w:val="28"/>
                <w:szCs w:val="28"/>
                <w:highlight w:val="none"/>
                <w:vertAlign w:val="baseline"/>
                <w:lang w:val="en-US" w:eastAsia="zh-CN"/>
              </w:rPr>
              <w:t>环境责任</w:t>
            </w:r>
          </w:p>
        </w:tc>
      </w:tr>
      <w:tr w14:paraId="40DF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522396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节能环保项目贷款余额</w:t>
            </w:r>
          </w:p>
        </w:tc>
        <w:tc>
          <w:tcPr>
            <w:tcW w:w="1134" w:type="dxa"/>
            <w:vAlign w:val="center"/>
          </w:tcPr>
          <w:p w14:paraId="0A9A576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B990A7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sz w:val="28"/>
                <w:szCs w:val="28"/>
                <w:highlight w:val="none"/>
              </w:rPr>
              <w:t>801.35</w:t>
            </w:r>
          </w:p>
        </w:tc>
        <w:tc>
          <w:tcPr>
            <w:tcW w:w="1701" w:type="dxa"/>
            <w:vAlign w:val="center"/>
          </w:tcPr>
          <w:p w14:paraId="12C7C4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654.25</w:t>
            </w:r>
          </w:p>
        </w:tc>
        <w:tc>
          <w:tcPr>
            <w:tcW w:w="1701" w:type="dxa"/>
            <w:vAlign w:val="center"/>
          </w:tcPr>
          <w:p w14:paraId="2CA75AF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default" w:ascii="仿宋" w:hAnsi="仿宋" w:eastAsia="仿宋" w:cs="仿宋"/>
                <w:b w:val="0"/>
                <w:bCs w:val="0"/>
                <w:sz w:val="28"/>
                <w:szCs w:val="28"/>
                <w:highlight w:val="none"/>
                <w:vertAlign w:val="baseline"/>
                <w:lang w:val="en-US" w:eastAsia="zh-CN"/>
              </w:rPr>
              <w:t>560.55</w:t>
            </w:r>
          </w:p>
        </w:tc>
      </w:tr>
      <w:tr w14:paraId="5116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29680B6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人均办公耗电</w:t>
            </w:r>
          </w:p>
        </w:tc>
        <w:tc>
          <w:tcPr>
            <w:tcW w:w="1134" w:type="dxa"/>
            <w:vAlign w:val="center"/>
          </w:tcPr>
          <w:p w14:paraId="3A99225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度</w:t>
            </w:r>
          </w:p>
        </w:tc>
        <w:tc>
          <w:tcPr>
            <w:tcW w:w="1701" w:type="dxa"/>
            <w:vAlign w:val="center"/>
          </w:tcPr>
          <w:p w14:paraId="49B3C05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5050</w:t>
            </w:r>
          </w:p>
        </w:tc>
        <w:tc>
          <w:tcPr>
            <w:tcW w:w="1701" w:type="dxa"/>
            <w:vAlign w:val="center"/>
          </w:tcPr>
          <w:p w14:paraId="338564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4494.25</w:t>
            </w:r>
          </w:p>
        </w:tc>
        <w:tc>
          <w:tcPr>
            <w:tcW w:w="1701" w:type="dxa"/>
            <w:vAlign w:val="center"/>
          </w:tcPr>
          <w:p w14:paraId="13EECCC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4600</w:t>
            </w:r>
          </w:p>
        </w:tc>
      </w:tr>
      <w:tr w14:paraId="7C38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1A01907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人均办公耗水</w:t>
            </w:r>
          </w:p>
        </w:tc>
        <w:tc>
          <w:tcPr>
            <w:tcW w:w="1134" w:type="dxa"/>
            <w:vAlign w:val="center"/>
          </w:tcPr>
          <w:p w14:paraId="60DBBAA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吨</w:t>
            </w:r>
          </w:p>
        </w:tc>
        <w:tc>
          <w:tcPr>
            <w:tcW w:w="1701" w:type="dxa"/>
            <w:vAlign w:val="center"/>
          </w:tcPr>
          <w:p w14:paraId="1F49D52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11.5</w:t>
            </w:r>
          </w:p>
        </w:tc>
        <w:tc>
          <w:tcPr>
            <w:tcW w:w="1701" w:type="dxa"/>
            <w:vAlign w:val="center"/>
          </w:tcPr>
          <w:p w14:paraId="37E5ED1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22.38</w:t>
            </w:r>
          </w:p>
        </w:tc>
        <w:tc>
          <w:tcPr>
            <w:tcW w:w="1701" w:type="dxa"/>
            <w:vAlign w:val="center"/>
          </w:tcPr>
          <w:p w14:paraId="2568BE5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21.50</w:t>
            </w:r>
          </w:p>
        </w:tc>
      </w:tr>
      <w:tr w14:paraId="5B3B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2DB1A13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人均办公用纸</w:t>
            </w:r>
          </w:p>
        </w:tc>
        <w:tc>
          <w:tcPr>
            <w:tcW w:w="1134" w:type="dxa"/>
            <w:vAlign w:val="center"/>
          </w:tcPr>
          <w:p w14:paraId="3C8F0FB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万张</w:t>
            </w:r>
          </w:p>
        </w:tc>
        <w:tc>
          <w:tcPr>
            <w:tcW w:w="1701" w:type="dxa"/>
            <w:vAlign w:val="center"/>
          </w:tcPr>
          <w:p w14:paraId="379C2F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2</w:t>
            </w:r>
          </w:p>
        </w:tc>
        <w:tc>
          <w:tcPr>
            <w:tcW w:w="1701" w:type="dxa"/>
            <w:vAlign w:val="center"/>
          </w:tcPr>
          <w:p w14:paraId="7C42C8E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2.5</w:t>
            </w:r>
          </w:p>
        </w:tc>
        <w:tc>
          <w:tcPr>
            <w:tcW w:w="1701" w:type="dxa"/>
            <w:vAlign w:val="center"/>
          </w:tcPr>
          <w:p w14:paraId="60C0446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2.7</w:t>
            </w:r>
          </w:p>
        </w:tc>
      </w:tr>
      <w:tr w14:paraId="6974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43EA848">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人均公务车油耗</w:t>
            </w:r>
          </w:p>
        </w:tc>
        <w:tc>
          <w:tcPr>
            <w:tcW w:w="1134" w:type="dxa"/>
            <w:vAlign w:val="center"/>
          </w:tcPr>
          <w:p w14:paraId="4CF59E4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升</w:t>
            </w:r>
          </w:p>
        </w:tc>
        <w:tc>
          <w:tcPr>
            <w:tcW w:w="1701" w:type="dxa"/>
            <w:vAlign w:val="center"/>
          </w:tcPr>
          <w:p w14:paraId="34FC3F3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115</w:t>
            </w:r>
          </w:p>
        </w:tc>
        <w:tc>
          <w:tcPr>
            <w:tcW w:w="1701" w:type="dxa"/>
            <w:vAlign w:val="center"/>
          </w:tcPr>
          <w:p w14:paraId="6B0C55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130</w:t>
            </w:r>
          </w:p>
        </w:tc>
        <w:tc>
          <w:tcPr>
            <w:tcW w:w="1701" w:type="dxa"/>
            <w:vAlign w:val="center"/>
          </w:tcPr>
          <w:p w14:paraId="3E19877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132</w:t>
            </w:r>
          </w:p>
        </w:tc>
      </w:tr>
      <w:tr w14:paraId="67F7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C5D1D7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视频会议覆盖率</w:t>
            </w:r>
          </w:p>
        </w:tc>
        <w:tc>
          <w:tcPr>
            <w:tcW w:w="1134" w:type="dxa"/>
            <w:vAlign w:val="center"/>
          </w:tcPr>
          <w:p w14:paraId="5A43F3F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4EE202D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 xml:space="preserve">90  </w:t>
            </w:r>
          </w:p>
        </w:tc>
        <w:tc>
          <w:tcPr>
            <w:tcW w:w="1701" w:type="dxa"/>
            <w:vAlign w:val="center"/>
          </w:tcPr>
          <w:p w14:paraId="294B9AF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92</w:t>
            </w:r>
          </w:p>
        </w:tc>
        <w:tc>
          <w:tcPr>
            <w:tcW w:w="1701" w:type="dxa"/>
            <w:vAlign w:val="center"/>
          </w:tcPr>
          <w:p w14:paraId="18A6EF57">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93</w:t>
            </w:r>
          </w:p>
        </w:tc>
      </w:tr>
    </w:tbl>
    <w:p w14:paraId="2207DBD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三、社会责任关键绩效</w:t>
      </w:r>
    </w:p>
    <w:p w14:paraId="7AD327D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305" w:firstLine="0" w:firstLineChars="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第二节 社会责任理念</w:t>
      </w:r>
    </w:p>
    <w:p w14:paraId="1C128CF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一、社会责任核心理念与目标</w:t>
      </w:r>
    </w:p>
    <w:p w14:paraId="211E683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致力于建立优良的社会责任观，将社会责任融入经营管理实践，建设有效的利益相关责任方参与机制，一是积极参与社会公益活动。本行全体干部员工参与“我为大家巡一夜，大家为我巡一年”平安守护志愿巡逻服务活动。在值班民警的带领下，深入城区内部分主要路口、重点地段、背街小巷等开展义务巡逻。积极参与社区入户综治民调活动。二是持续开展金融知识公益宣传活动。与桂阳县流峰镇园区村签订《党建共建协议》，开展党建共建联建工作。利用每周“普惠金融学堂”、厅堂营销以及村居上门走访，向社区局民、村民宣传防范电信诈骗等多种金融知识，营销储蓄存款。实现党的建设与本行发展良性互动，达到“党建引领聚合力，共建联建促发展”的目的。</w:t>
      </w:r>
    </w:p>
    <w:p w14:paraId="193C98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二、社会责任领域</w:t>
      </w:r>
    </w:p>
    <w:p w14:paraId="30B415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金融普惠</w:t>
      </w:r>
      <w:r>
        <w:rPr>
          <w:rFonts w:hint="eastAsia" w:ascii="仿宋" w:hAnsi="仿宋" w:eastAsia="仿宋" w:cs="仿宋"/>
          <w:b w:val="0"/>
          <w:bCs w:val="0"/>
          <w:sz w:val="32"/>
          <w:szCs w:val="32"/>
          <w:highlight w:val="none"/>
          <w:lang w:val="en-US" w:eastAsia="zh-CN"/>
        </w:rPr>
        <w:t>：发挥银行特色和优势，倾心服务村居、小微、“三农”客户，扶持新兴农业主体企业发展。</w:t>
      </w:r>
    </w:p>
    <w:p w14:paraId="2233C45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优质服务：</w:t>
      </w:r>
      <w:r>
        <w:rPr>
          <w:rFonts w:hint="eastAsia" w:ascii="仿宋" w:hAnsi="仿宋" w:eastAsia="仿宋" w:cs="仿宋"/>
          <w:b w:val="0"/>
          <w:bCs w:val="0"/>
          <w:sz w:val="32"/>
          <w:szCs w:val="32"/>
          <w:highlight w:val="none"/>
          <w:lang w:val="en-US" w:eastAsia="zh-CN"/>
        </w:rPr>
        <w:t>提高服务质量和营运效率，优化服务流程，保证客户金融安全，提升客户服务体验。</w:t>
      </w:r>
    </w:p>
    <w:p w14:paraId="0F2B57A7">
      <w:pPr>
        <w:pStyle w:val="11"/>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3" w:firstLineChars="200"/>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金融创新：</w:t>
      </w:r>
      <w:r>
        <w:rPr>
          <w:rFonts w:hint="eastAsia" w:ascii="仿宋" w:hAnsi="仿宋" w:eastAsia="仿宋" w:cs="仿宋"/>
          <w:b w:val="0"/>
          <w:bCs w:val="0"/>
          <w:sz w:val="32"/>
          <w:szCs w:val="32"/>
          <w:highlight w:val="none"/>
          <w:lang w:val="en-US" w:eastAsia="zh-CN"/>
        </w:rPr>
        <w:t>以客户需求为导向，坚持合规原则，加强产品和服务模式创新与优化，实现个人财富增长、企业价值提升。</w:t>
      </w:r>
    </w:p>
    <w:p w14:paraId="36BA109A">
      <w:pPr>
        <w:pStyle w:val="11"/>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3" w:firstLineChars="200"/>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三、专注主业，履行社会责任</w:t>
      </w:r>
    </w:p>
    <w:p w14:paraId="7EC42ED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以“普惠金融助力百姓美好生活”为使命，秉承“支农支小”的市场定位，弘扬奋斗者文化,坚持以客户为中心、努力提升客户满意度。先后对23个乡镇300多个村庄进行了实地勘察，掌握黄精、烤烟、玉竹等农产品种植情况，以聊家常的方式了解农户在信贷资金方面的需求，并以“党建+村居业务”的形式在全县范围内启动推广“村居业务”，把科学高效的农产品种植、牲畜养殖技术等送到农民群众身边。</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据不完整统计，桂阳全县油茶种植面积32万余亩，可产油茶200万公斤以上，年产值约4300余万元，菜心种植面积2000余亩，年产6000余吨，年产值1000余万元，是享誉全国的“有色金属之乡”，更是有着强劲经济实力的农业强县。为更好的助推油茶、烟叶、中药材等农产品实现产业化、规模化、集约化发展，迈向标准更高、质量更优、品牌更强的绿色生态发展之路，桂阳沪农商村镇银行先后推出“油茶贷”“烟叶贷”“玉竹贷”等信贷产品，2024年共发放小微贷款3304户，累计投放5.68亿元，户均贷款17.2万元，为建设美丽富饶、欣欣向荣的新桂阳做出了应有贡献。</w:t>
      </w:r>
    </w:p>
    <w:p w14:paraId="43B52E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eastAsia="zh-CN"/>
        </w:rPr>
      </w:pPr>
      <w:r>
        <w:rPr>
          <w:rFonts w:hint="eastAsia" w:ascii="仿宋" w:hAnsi="仿宋" w:eastAsia="仿宋" w:cs="仿宋"/>
          <w:kern w:val="0"/>
          <w:sz w:val="32"/>
          <w:szCs w:val="32"/>
          <w:highlight w:val="none"/>
          <w:lang w:val="en-US" w:eastAsia="zh-CN"/>
        </w:rPr>
        <w:t>本</w:t>
      </w:r>
      <w:r>
        <w:rPr>
          <w:rFonts w:hint="eastAsia" w:ascii="仿宋" w:hAnsi="仿宋" w:eastAsia="仿宋" w:cs="仿宋"/>
          <w:kern w:val="0"/>
          <w:sz w:val="32"/>
          <w:szCs w:val="32"/>
          <w:highlight w:val="none"/>
          <w:lang w:eastAsia="zh-CN"/>
        </w:rPr>
        <w:t>行为有效解决服务半径较短的问题，延伸金融服务触角，员工携带便捷式移动终端开展外拓业务，推广便民、惠民、利民服务，为群众做实事。经前期宣传，居民纷纷集中到社区服务点提供信贷材料、咨询金融产品问题。</w:t>
      </w:r>
      <w:r>
        <w:rPr>
          <w:rFonts w:hint="eastAsia" w:ascii="仿宋" w:hAnsi="仿宋" w:eastAsia="仿宋" w:cs="仿宋"/>
          <w:kern w:val="0"/>
          <w:sz w:val="32"/>
          <w:szCs w:val="32"/>
          <w:highlight w:val="none"/>
          <w:lang w:val="en-US" w:eastAsia="zh-CN"/>
        </w:rPr>
        <w:t>部分</w:t>
      </w:r>
      <w:r>
        <w:rPr>
          <w:rFonts w:hint="eastAsia" w:ascii="仿宋" w:hAnsi="仿宋" w:eastAsia="仿宋" w:cs="仿宋"/>
          <w:kern w:val="0"/>
          <w:sz w:val="32"/>
          <w:szCs w:val="32"/>
          <w:highlight w:val="none"/>
          <w:lang w:eastAsia="zh-CN"/>
        </w:rPr>
        <w:t>居民通过移动设备办理了储蓄卡，切实感受到本行的热心便民服务。</w:t>
      </w:r>
    </w:p>
    <w:p w14:paraId="2065D5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lang w:val="en-US" w:eastAsia="zh-CN"/>
        </w:rPr>
        <w:drawing>
          <wp:inline distT="0" distB="0" distL="114300" distR="114300">
            <wp:extent cx="3876675" cy="2907030"/>
            <wp:effectExtent l="0" t="0" r="9525" b="1270"/>
            <wp:docPr id="4" name="图片 4" descr="5fc855f5f72a9f16b2c97d41d466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c855f5f72a9f16b2c97d41d46632c"/>
                    <pic:cNvPicPr>
                      <a:picLocks noChangeAspect="1"/>
                    </pic:cNvPicPr>
                  </pic:nvPicPr>
                  <pic:blipFill>
                    <a:blip r:embed="rId7"/>
                    <a:stretch>
                      <a:fillRect/>
                    </a:stretch>
                  </pic:blipFill>
                  <pic:spPr>
                    <a:xfrm>
                      <a:off x="0" y="0"/>
                      <a:ext cx="3876675" cy="2907030"/>
                    </a:xfrm>
                    <a:prstGeom prst="rect">
                      <a:avLst/>
                    </a:prstGeom>
                  </pic:spPr>
                </pic:pic>
              </a:graphicData>
            </a:graphic>
          </wp:inline>
        </w:drawing>
      </w:r>
    </w:p>
    <w:p w14:paraId="5A4C497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第三节 社会责任管理</w:t>
      </w:r>
    </w:p>
    <w:p w14:paraId="5720473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一、党建引领</w:t>
      </w:r>
    </w:p>
    <w:p w14:paraId="11416D5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认真贯彻落实党建引领的工作要求，着力构建党的领导和公司治理有机融合的制度框架，把党的领导融入公司治理各环节，将党建工作要求写入公司章程，建立前置程序和三重一大的操作细则，健全公司党组织议事决策机制，加强党建统一领导，注重基层组织建设，强化廉洁作风。本行通过党建引领，进一步将全行思想统一到公司可持续发展能力和支持实体经济上，树立良好的社会声誉和品牌形象。</w:t>
      </w:r>
    </w:p>
    <w:p w14:paraId="5BD5D8A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纪律建设永远在路上，本行全体员工时刻绷紧党风廉政建设这根弦，层层压实责任，签订《党风廉政建设责任书》，严格执行支部前置研究事项要求，发挥好</w:t>
      </w:r>
      <w:r>
        <w:rPr>
          <w:rFonts w:hint="eastAsia" w:ascii="仿宋_GB2312" w:hAnsi="仿宋_GB2312" w:eastAsia="仿宋_GB2312" w:cs="仿宋_GB2312"/>
          <w:b w:val="0"/>
          <w:bCs w:val="0"/>
          <w:sz w:val="32"/>
          <w:szCs w:val="32"/>
          <w:lang w:val="en-US" w:eastAsia="zh-CN"/>
        </w:rPr>
        <w:t>党支部</w:t>
      </w:r>
      <w:r>
        <w:rPr>
          <w:rFonts w:hint="eastAsia" w:ascii="仿宋" w:hAnsi="仿宋" w:eastAsia="仿宋" w:cs="仿宋"/>
          <w:kern w:val="0"/>
          <w:sz w:val="32"/>
          <w:szCs w:val="32"/>
          <w:highlight w:val="none"/>
          <w:lang w:val="en-US" w:eastAsia="zh-CN"/>
        </w:rPr>
        <w:t>把方向、管大局、保落实的作用。明确支部书记为履行党风廉政建设第一责任人，对党风廉政建设负总责，做到与其它重要工作一起部署，一起落实，一起考核。认真落实“四个亲自”要求，坚持“谁主管、谁负责”的原则，根据班子成员分工，将党风廉政建设工作进行细化分解，切实把党风廉政建设责任落实到位。</w:t>
      </w:r>
    </w:p>
    <w:p w14:paraId="07A145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组织全体党员开展重温入党誓词，大声喊出“我宣誓”，将誓言印刻在每一位党员的脑海里，继承革命英烈一生一“誓”的信仰和承诺；还开展了一系列丰富多彩的活动，如“弘扬五四精神，凝聚青春力量”为主题的五四团建活动、参观夜宿梨山红色教育基地、茶陵县工农兵政府旧址、观看《欧阳海》红色电影等，延续红色基因，凝聚团队力量，共同书写村行发展的新篇章。一年来，支部与业务单位、村委携手共进，举办了多次共建活动，深化党建与村居经营的融合。严明党的纪律，定期召开民主生活会，开展批评与自我批评，共同推动各项工作。</w:t>
      </w:r>
    </w:p>
    <w:p w14:paraId="4444329D">
      <w:pPr>
        <w:pStyle w:val="4"/>
        <w:rPr>
          <w:rFonts w:hint="eastAsia"/>
          <w:highlight w:val="none"/>
          <w:lang w:val="en-US" w:eastAsia="zh-CN"/>
        </w:rPr>
      </w:pPr>
      <w:r>
        <w:rPr>
          <w:rFonts w:hint="eastAsia"/>
          <w:highlight w:val="none"/>
          <w:lang w:val="en-US" w:eastAsia="zh-CN"/>
        </w:rPr>
        <w:t xml:space="preserve">         </w:t>
      </w:r>
      <w:r>
        <w:rPr>
          <w:rFonts w:hint="eastAsia"/>
          <w:highlight w:val="none"/>
          <w:lang w:val="en-US" w:eastAsia="zh-CN"/>
        </w:rPr>
        <w:drawing>
          <wp:inline distT="0" distB="0" distL="114300" distR="114300">
            <wp:extent cx="3604260" cy="2703830"/>
            <wp:effectExtent l="0" t="0" r="2540" b="1270"/>
            <wp:docPr id="16" name="图片 16" descr="6d68de054d20d4e5c003e6b42255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d68de054d20d4e5c003e6b42255b6e"/>
                    <pic:cNvPicPr>
                      <a:picLocks noChangeAspect="1"/>
                    </pic:cNvPicPr>
                  </pic:nvPicPr>
                  <pic:blipFill>
                    <a:blip r:embed="rId8"/>
                    <a:stretch>
                      <a:fillRect/>
                    </a:stretch>
                  </pic:blipFill>
                  <pic:spPr>
                    <a:xfrm>
                      <a:off x="0" y="0"/>
                      <a:ext cx="3604260" cy="2703830"/>
                    </a:xfrm>
                    <a:prstGeom prst="rect">
                      <a:avLst/>
                    </a:prstGeom>
                  </pic:spPr>
                </pic:pic>
              </a:graphicData>
            </a:graphic>
          </wp:inline>
        </w:drawing>
      </w:r>
    </w:p>
    <w:p w14:paraId="21552DE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二、公司治理</w:t>
      </w:r>
    </w:p>
    <w:p w14:paraId="207332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（一）公司治理结构</w:t>
      </w:r>
    </w:p>
    <w:p w14:paraId="1874D3B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2024年，桂阳沪农商村镇银行共召开股东大会2次，审议或听取议案29项。股东大会的召集、召开，出席会议的人员资格，表决程序均符合法律、法规和公司章程的规定，股东大会通过的各项决议合法有效。</w:t>
      </w:r>
    </w:p>
    <w:p w14:paraId="6B7D943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报告期内，本行董事会召开18次会议，审议或听取议案</w:t>
      </w:r>
      <w:r>
        <w:rPr>
          <w:rFonts w:hint="eastAsia" w:ascii="仿宋" w:hAnsi="仿宋" w:eastAsia="仿宋" w:cs="仿宋"/>
          <w:color w:val="000000"/>
          <w:sz w:val="32"/>
          <w:szCs w:val="32"/>
          <w:highlight w:val="none"/>
          <w:lang w:val="en-US" w:eastAsia="zh-CN"/>
        </w:rPr>
        <w:t>143</w:t>
      </w:r>
      <w:r>
        <w:rPr>
          <w:rFonts w:hint="eastAsia" w:ascii="仿宋" w:hAnsi="仿宋" w:eastAsia="仿宋" w:cs="仿宋"/>
          <w:kern w:val="0"/>
          <w:sz w:val="32"/>
          <w:szCs w:val="32"/>
          <w:highlight w:val="none"/>
          <w:lang w:val="en-US" w:eastAsia="zh-CN"/>
        </w:rPr>
        <w:t>项。全体董事诚信、专业、勤勉、尽责，严格按照《公司法》、公司章程和公司治理程序，切实保护股东的合法权益，关注和维护存款人和其他利益相关者的利益，有效履行受托职责。</w:t>
      </w:r>
    </w:p>
    <w:p w14:paraId="3CE5915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报告期内，本行监事会召开12次会议，审议或听取议案80项。全体监事勤勉敬业，认真履职，积极参加监事会会议，出席股东大会，列席董事会会议，独立发表意见。</w:t>
      </w:r>
    </w:p>
    <w:p w14:paraId="7F9516A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报告期内，本行高级管理层在董事会的授权和监事会的监督下，稳步推进全年各项经营目标,较好完成了全年工作任务。</w:t>
      </w:r>
    </w:p>
    <w:p w14:paraId="4320945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以“合规创造价值”的理念，在守法合规管理方面实行常态化“高标准、严要求”并严格落实到执行层面。在反腐倡廉、治理商业贿赂方面，本行实施企业内部风险控制，加强教育、监督、惩罚的力度，开展廉洁从业教育和培训。</w:t>
      </w:r>
    </w:p>
    <w:p w14:paraId="385434AC">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（二）投资者关系管理</w:t>
      </w:r>
    </w:p>
    <w:p w14:paraId="12AE54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不断加强投资者沟通交流，维护股东合法权益。本行根据中国银保监会办公厅《关于做好&lt;商业银行股权托管办法&gt;实施相关工作的通知》（银保监办发〔2019〕156号）要求，2022年初全部完成股权托管工作，进一步提高了股权透明度，提升了股东服务水平。</w:t>
      </w:r>
    </w:p>
    <w:p w14:paraId="0E1AEAB9">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left"/>
        <w:textAlignment w:val="auto"/>
        <w:rPr>
          <w:rFonts w:hint="eastAsia"/>
          <w:highlight w:val="none"/>
          <w:lang w:val="en-US" w:eastAsia="zh-CN"/>
        </w:rPr>
      </w:pPr>
      <w:r>
        <w:rPr>
          <w:rFonts w:hint="eastAsia" w:ascii="仿宋" w:hAnsi="仿宋" w:eastAsia="仿宋" w:cs="仿宋"/>
          <w:b/>
          <w:bCs/>
          <w:i w:val="0"/>
          <w:iCs w:val="0"/>
          <w:sz w:val="32"/>
          <w:szCs w:val="32"/>
          <w:highlight w:val="none"/>
          <w:lang w:val="en-US" w:eastAsia="zh-CN"/>
        </w:rPr>
        <w:t>利益相关方沟通</w:t>
      </w:r>
    </w:p>
    <w:tbl>
      <w:tblPr>
        <w:tblStyle w:val="13"/>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14:paraId="7B42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14:paraId="2C9F8485">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利益相关方</w:t>
            </w:r>
          </w:p>
        </w:tc>
        <w:tc>
          <w:tcPr>
            <w:tcW w:w="3118" w:type="dxa"/>
            <w:shd w:val="clear" w:color="auto" w:fill="DEEBF6" w:themeFill="accent1" w:themeFillTint="32"/>
            <w:vAlign w:val="center"/>
          </w:tcPr>
          <w:p w14:paraId="05C98EB6">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期望</w:t>
            </w:r>
          </w:p>
        </w:tc>
        <w:tc>
          <w:tcPr>
            <w:tcW w:w="3968" w:type="dxa"/>
            <w:shd w:val="clear" w:color="auto" w:fill="DEEBF6" w:themeFill="accent1" w:themeFillTint="32"/>
            <w:vAlign w:val="center"/>
          </w:tcPr>
          <w:p w14:paraId="2FE2A0A2">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回应</w:t>
            </w:r>
          </w:p>
        </w:tc>
      </w:tr>
      <w:tr w14:paraId="62D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54BC5A8F">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政府</w:t>
            </w:r>
          </w:p>
        </w:tc>
        <w:tc>
          <w:tcPr>
            <w:tcW w:w="3118" w:type="dxa"/>
            <w:vAlign w:val="center"/>
          </w:tcPr>
          <w:p w14:paraId="2AB82C40">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支持实体经济建设</w:t>
            </w:r>
          </w:p>
          <w:p w14:paraId="5CEC5D98">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落实乡村振兴工作部署</w:t>
            </w:r>
          </w:p>
          <w:p w14:paraId="4D07B20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促进企业稳健发展</w:t>
            </w:r>
          </w:p>
        </w:tc>
        <w:tc>
          <w:tcPr>
            <w:tcW w:w="3968" w:type="dxa"/>
            <w:vAlign w:val="center"/>
          </w:tcPr>
          <w:p w14:paraId="6D13030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贯彻国家和地方政策</w:t>
            </w:r>
          </w:p>
          <w:p w14:paraId="5BD2E93B">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开展乡村振兴</w:t>
            </w:r>
          </w:p>
          <w:p w14:paraId="08985FF8">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明确支农支小战略定位</w:t>
            </w:r>
          </w:p>
        </w:tc>
      </w:tr>
      <w:tr w14:paraId="5822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1EB0B587">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股东与投资者</w:t>
            </w:r>
          </w:p>
        </w:tc>
        <w:tc>
          <w:tcPr>
            <w:tcW w:w="3118" w:type="dxa"/>
            <w:vAlign w:val="center"/>
          </w:tcPr>
          <w:p w14:paraId="481148DA">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良好的投资回报</w:t>
            </w:r>
          </w:p>
          <w:p w14:paraId="2FFF521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全面及时的信息披露</w:t>
            </w:r>
          </w:p>
          <w:p w14:paraId="0EC1E05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健全的企业内部机制建设</w:t>
            </w:r>
          </w:p>
        </w:tc>
        <w:tc>
          <w:tcPr>
            <w:tcW w:w="3968" w:type="dxa"/>
            <w:vAlign w:val="center"/>
          </w:tcPr>
          <w:p w14:paraId="680CDFB0">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全面准确地把握经济形势和当地特色，强化风险管理，创造可持续价值回报</w:t>
            </w:r>
          </w:p>
          <w:p w14:paraId="02CF7F0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准确披露信息，提高透明度</w:t>
            </w:r>
          </w:p>
          <w:p w14:paraId="7B355A6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完善公司治理机制，依法合规、稳健经营</w:t>
            </w:r>
          </w:p>
        </w:tc>
      </w:tr>
      <w:tr w14:paraId="2334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2D0EEA2C">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客户</w:t>
            </w:r>
          </w:p>
        </w:tc>
        <w:tc>
          <w:tcPr>
            <w:tcW w:w="3118" w:type="dxa"/>
            <w:vAlign w:val="center"/>
          </w:tcPr>
          <w:p w14:paraId="26DE5CC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热情、便捷的金融服务</w:t>
            </w:r>
          </w:p>
          <w:p w14:paraId="679CDBBD">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满足不同需求的金融产品</w:t>
            </w:r>
          </w:p>
          <w:p w14:paraId="7796C11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倾听客户的意见</w:t>
            </w:r>
          </w:p>
        </w:tc>
        <w:tc>
          <w:tcPr>
            <w:tcW w:w="3968" w:type="dxa"/>
            <w:vAlign w:val="center"/>
          </w:tcPr>
          <w:p w14:paraId="5FFC264D">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强化员工服务意识和业务能力</w:t>
            </w:r>
          </w:p>
          <w:p w14:paraId="6441649F">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创新金融产品的种类与模式</w:t>
            </w:r>
          </w:p>
          <w:p w14:paraId="007E757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简化业务流程，完善投诉机制</w:t>
            </w:r>
          </w:p>
          <w:p w14:paraId="33992B3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保护消费者权益</w:t>
            </w:r>
          </w:p>
        </w:tc>
      </w:tr>
      <w:tr w14:paraId="52D7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6D51C328">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w:t>
            </w:r>
          </w:p>
        </w:tc>
        <w:tc>
          <w:tcPr>
            <w:tcW w:w="3118" w:type="dxa"/>
            <w:vAlign w:val="center"/>
          </w:tcPr>
          <w:p w14:paraId="3C572B7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以人为本</w:t>
            </w:r>
          </w:p>
          <w:p w14:paraId="7922D3D1">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关注成长</w:t>
            </w:r>
          </w:p>
          <w:p w14:paraId="6D61558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实现自我价值</w:t>
            </w:r>
          </w:p>
        </w:tc>
        <w:tc>
          <w:tcPr>
            <w:tcW w:w="3968" w:type="dxa"/>
            <w:vAlign w:val="center"/>
          </w:tcPr>
          <w:p w14:paraId="6F1EC2A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保障员工合法权益</w:t>
            </w:r>
          </w:p>
          <w:p w14:paraId="4F18725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完善薪酬福利体系和职业发展规划</w:t>
            </w:r>
          </w:p>
          <w:p w14:paraId="0128174B">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探索企业文化</w:t>
            </w:r>
          </w:p>
        </w:tc>
      </w:tr>
      <w:tr w14:paraId="375D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648052AB">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供应商与合作伙伴</w:t>
            </w:r>
          </w:p>
        </w:tc>
        <w:tc>
          <w:tcPr>
            <w:tcW w:w="3118" w:type="dxa"/>
            <w:vAlign w:val="center"/>
          </w:tcPr>
          <w:p w14:paraId="3837BE2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诚实守信</w:t>
            </w:r>
          </w:p>
          <w:p w14:paraId="0603029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互利共赢</w:t>
            </w:r>
          </w:p>
        </w:tc>
        <w:tc>
          <w:tcPr>
            <w:tcW w:w="3968" w:type="dxa"/>
            <w:vAlign w:val="center"/>
          </w:tcPr>
          <w:p w14:paraId="25CCC1D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公平竞争，诚信履约</w:t>
            </w:r>
          </w:p>
          <w:p w14:paraId="33F24C3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友好互利，相互尊重</w:t>
            </w:r>
          </w:p>
        </w:tc>
      </w:tr>
      <w:tr w14:paraId="3C71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4A7901AB">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社区</w:t>
            </w:r>
          </w:p>
        </w:tc>
        <w:tc>
          <w:tcPr>
            <w:tcW w:w="3118" w:type="dxa"/>
            <w:vAlign w:val="center"/>
          </w:tcPr>
          <w:p w14:paraId="32326C69">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支持社区建设</w:t>
            </w:r>
          </w:p>
          <w:p w14:paraId="59DCB54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搭建银村桥梁</w:t>
            </w:r>
          </w:p>
          <w:p w14:paraId="67539880">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宣传金融知识</w:t>
            </w:r>
          </w:p>
        </w:tc>
        <w:tc>
          <w:tcPr>
            <w:tcW w:w="3968" w:type="dxa"/>
            <w:vAlign w:val="center"/>
          </w:tcPr>
          <w:p w14:paraId="6B2F014F">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优化网点布局，提升综合服务能力</w:t>
            </w:r>
          </w:p>
          <w:p w14:paraId="11920501">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加大宣传力度，普及金融政策知识</w:t>
            </w:r>
          </w:p>
        </w:tc>
      </w:tr>
      <w:tr w14:paraId="28CA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54AFC06D">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公众与媒体</w:t>
            </w:r>
          </w:p>
        </w:tc>
        <w:tc>
          <w:tcPr>
            <w:tcW w:w="3118" w:type="dxa"/>
            <w:vAlign w:val="center"/>
          </w:tcPr>
          <w:p w14:paraId="56C9894B">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塑造品牌形象</w:t>
            </w:r>
          </w:p>
          <w:p w14:paraId="5FE0826A">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热心回馈社会</w:t>
            </w:r>
          </w:p>
        </w:tc>
        <w:tc>
          <w:tcPr>
            <w:tcW w:w="3968" w:type="dxa"/>
            <w:vAlign w:val="center"/>
          </w:tcPr>
          <w:p w14:paraId="765E78C5">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积极对接，加强宣传</w:t>
            </w:r>
          </w:p>
          <w:p w14:paraId="5BE2075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投身公益事业，打造品牌口碑</w:t>
            </w:r>
          </w:p>
        </w:tc>
      </w:tr>
      <w:tr w14:paraId="4A27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7465DC03">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环境</w:t>
            </w:r>
          </w:p>
        </w:tc>
        <w:tc>
          <w:tcPr>
            <w:tcW w:w="3118" w:type="dxa"/>
            <w:vAlign w:val="center"/>
          </w:tcPr>
          <w:p w14:paraId="0ECE9B29">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信贷投向偏好</w:t>
            </w:r>
          </w:p>
          <w:p w14:paraId="05ACB604">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节能减排</w:t>
            </w:r>
          </w:p>
          <w:p w14:paraId="2E789BB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可持续发展</w:t>
            </w:r>
          </w:p>
        </w:tc>
        <w:tc>
          <w:tcPr>
            <w:tcW w:w="3968" w:type="dxa"/>
            <w:vAlign w:val="center"/>
          </w:tcPr>
          <w:p w14:paraId="2E00543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限制高污染、高能耗的产品</w:t>
            </w:r>
          </w:p>
          <w:p w14:paraId="5C1D0E38">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支持无纸化办公</w:t>
            </w:r>
          </w:p>
          <w:p w14:paraId="1511D25E">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倡导节约的企业氛围</w:t>
            </w:r>
          </w:p>
        </w:tc>
      </w:tr>
    </w:tbl>
    <w:p w14:paraId="7576BC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第四节 社会责任实践</w:t>
      </w:r>
    </w:p>
    <w:p w14:paraId="1FCBD9B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一、经济责任</w:t>
      </w:r>
    </w:p>
    <w:p w14:paraId="382A210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长期以来，本行坚持扎根农村，承担乡村振兴新使命。本行在解决社会难点的过程中寻找新机遇、拓展新客户，为客户创造价值，切实提升“三农”、小微、社区客户满意度，实现商业银行与社会功能的有机统一。</w:t>
      </w:r>
    </w:p>
    <w:p w14:paraId="5A3043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kern w:val="0"/>
          <w:sz w:val="32"/>
          <w:szCs w:val="32"/>
          <w:highlight w:val="none"/>
          <w:lang w:eastAsia="zh-CN"/>
        </w:rPr>
      </w:pPr>
      <w:r>
        <w:rPr>
          <w:rFonts w:hint="eastAsia" w:ascii="仿宋" w:hAnsi="仿宋" w:eastAsia="仿宋" w:cs="仿宋"/>
          <w:b/>
          <w:bCs/>
          <w:sz w:val="32"/>
          <w:szCs w:val="32"/>
          <w:highlight w:val="none"/>
          <w:lang w:val="en-US" w:eastAsia="zh-CN"/>
        </w:rPr>
        <w:t>服务三农：</w:t>
      </w:r>
      <w:r>
        <w:rPr>
          <w:rFonts w:hint="eastAsia" w:ascii="仿宋" w:hAnsi="仿宋" w:eastAsia="仿宋" w:cs="仿宋"/>
          <w:kern w:val="0"/>
          <w:sz w:val="32"/>
          <w:szCs w:val="32"/>
          <w:highlight w:val="none"/>
        </w:rPr>
        <w:t>加强金融产品创新，截至</w:t>
      </w:r>
      <w:r>
        <w:rPr>
          <w:rFonts w:hint="eastAsia" w:ascii="仿宋" w:hAnsi="仿宋" w:eastAsia="仿宋" w:cs="仿宋"/>
          <w:kern w:val="0"/>
          <w:sz w:val="32"/>
          <w:szCs w:val="32"/>
          <w:highlight w:val="none"/>
          <w:lang w:eastAsia="zh-CN"/>
        </w:rPr>
        <w:t>202</w:t>
      </w:r>
      <w:r>
        <w:rPr>
          <w:rFonts w:hint="eastAsia" w:ascii="仿宋" w:hAnsi="仿宋" w:eastAsia="仿宋" w:cs="仿宋"/>
          <w:kern w:val="0"/>
          <w:sz w:val="32"/>
          <w:szCs w:val="32"/>
          <w:highlight w:val="none"/>
          <w:lang w:val="en-US" w:eastAsia="zh-CN"/>
        </w:rPr>
        <w:t>4</w:t>
      </w:r>
      <w:r>
        <w:rPr>
          <w:rFonts w:hint="eastAsia" w:ascii="仿宋" w:hAnsi="仿宋" w:eastAsia="仿宋" w:cs="仿宋"/>
          <w:kern w:val="0"/>
          <w:sz w:val="32"/>
          <w:szCs w:val="32"/>
          <w:highlight w:val="none"/>
        </w:rPr>
        <w:t>年末，</w:t>
      </w:r>
      <w:r>
        <w:rPr>
          <w:rFonts w:hint="eastAsia" w:ascii="仿宋" w:hAnsi="仿宋" w:eastAsia="仿宋" w:cs="仿宋"/>
          <w:kern w:val="0"/>
          <w:sz w:val="32"/>
          <w:szCs w:val="32"/>
          <w:highlight w:val="none"/>
          <w:lang w:eastAsia="zh-CN"/>
        </w:rPr>
        <w:t>本行</w:t>
      </w:r>
      <w:r>
        <w:rPr>
          <w:rFonts w:hint="eastAsia" w:ascii="仿宋" w:hAnsi="仿宋" w:eastAsia="仿宋" w:cs="仿宋"/>
          <w:kern w:val="0"/>
          <w:sz w:val="32"/>
          <w:szCs w:val="32"/>
          <w:highlight w:val="none"/>
        </w:rPr>
        <w:t>贷款余额</w:t>
      </w:r>
      <w:r>
        <w:rPr>
          <w:rFonts w:hint="eastAsia" w:ascii="仿宋" w:hAnsi="仿宋" w:eastAsia="仿宋" w:cs="仿宋"/>
          <w:kern w:val="0"/>
          <w:sz w:val="32"/>
          <w:szCs w:val="32"/>
          <w:highlight w:val="none"/>
          <w:lang w:val="en-US" w:eastAsia="zh-CN"/>
        </w:rPr>
        <w:t>11.39</w:t>
      </w:r>
      <w:r>
        <w:rPr>
          <w:rFonts w:hint="eastAsia" w:ascii="仿宋" w:hAnsi="仿宋" w:eastAsia="仿宋" w:cs="仿宋"/>
          <w:kern w:val="0"/>
          <w:sz w:val="32"/>
          <w:szCs w:val="32"/>
          <w:highlight w:val="none"/>
        </w:rPr>
        <w:t>亿元</w:t>
      </w:r>
      <w:r>
        <w:rPr>
          <w:rFonts w:hint="eastAsia" w:ascii="仿宋" w:hAnsi="仿宋" w:eastAsia="仿宋" w:cs="仿宋"/>
          <w:kern w:val="0"/>
          <w:sz w:val="32"/>
          <w:szCs w:val="32"/>
          <w:highlight w:val="none"/>
          <w:lang w:eastAsia="zh-CN"/>
        </w:rPr>
        <w:t>，</w:t>
      </w:r>
      <w:r>
        <w:rPr>
          <w:rFonts w:hint="eastAsia" w:ascii="仿宋" w:hAnsi="仿宋" w:eastAsia="仿宋" w:cs="仿宋"/>
          <w:kern w:val="0"/>
          <w:sz w:val="32"/>
          <w:szCs w:val="32"/>
          <w:highlight w:val="none"/>
        </w:rPr>
        <w:t>其中农户和小微企业贷款余额</w:t>
      </w:r>
      <w:r>
        <w:rPr>
          <w:rFonts w:hint="eastAsia" w:ascii="仿宋" w:hAnsi="仿宋" w:eastAsia="仿宋" w:cs="仿宋"/>
          <w:kern w:val="0"/>
          <w:sz w:val="32"/>
          <w:szCs w:val="32"/>
          <w:highlight w:val="none"/>
          <w:lang w:val="en-US" w:eastAsia="zh-CN"/>
        </w:rPr>
        <w:t>10.88</w:t>
      </w:r>
      <w:r>
        <w:rPr>
          <w:rFonts w:hint="eastAsia" w:ascii="仿宋" w:hAnsi="仿宋" w:eastAsia="仿宋" w:cs="仿宋"/>
          <w:kern w:val="0"/>
          <w:sz w:val="32"/>
          <w:szCs w:val="32"/>
          <w:highlight w:val="none"/>
        </w:rPr>
        <w:t>亿元，普惠型涉农贷款余额</w:t>
      </w:r>
      <w:r>
        <w:rPr>
          <w:rFonts w:hint="eastAsia" w:ascii="仿宋" w:hAnsi="仿宋" w:eastAsia="仿宋" w:cs="仿宋"/>
          <w:kern w:val="0"/>
          <w:sz w:val="32"/>
          <w:szCs w:val="32"/>
          <w:highlight w:val="none"/>
          <w:lang w:val="en-US" w:eastAsia="zh-CN"/>
        </w:rPr>
        <w:t>5.31</w:t>
      </w:r>
      <w:r>
        <w:rPr>
          <w:rFonts w:hint="eastAsia" w:ascii="仿宋" w:hAnsi="仿宋" w:eastAsia="仿宋" w:cs="仿宋"/>
          <w:kern w:val="0"/>
          <w:sz w:val="32"/>
          <w:szCs w:val="32"/>
          <w:highlight w:val="none"/>
        </w:rPr>
        <w:t>亿元，较年初增加</w:t>
      </w:r>
      <w:r>
        <w:rPr>
          <w:rFonts w:hint="eastAsia" w:ascii="仿宋" w:hAnsi="仿宋" w:cs="仿宋"/>
          <w:sz w:val="32"/>
          <w:szCs w:val="32"/>
          <w:highlight w:val="none"/>
          <w:lang w:val="en-US" w:eastAsia="zh-CN"/>
        </w:rPr>
        <w:t>1025.99</w:t>
      </w:r>
      <w:r>
        <w:rPr>
          <w:rFonts w:hint="eastAsia" w:ascii="仿宋" w:hAnsi="仿宋" w:eastAsia="仿宋" w:cs="仿宋"/>
          <w:kern w:val="0"/>
          <w:sz w:val="32"/>
          <w:szCs w:val="32"/>
          <w:highlight w:val="none"/>
        </w:rPr>
        <w:t>万元，多方合作扶农助农、拓宽支农渠道、促进就业创业等</w:t>
      </w:r>
      <w:r>
        <w:rPr>
          <w:rFonts w:hint="eastAsia" w:ascii="仿宋" w:hAnsi="仿宋" w:eastAsia="仿宋" w:cs="仿宋"/>
          <w:kern w:val="0"/>
          <w:sz w:val="32"/>
          <w:szCs w:val="32"/>
          <w:highlight w:val="none"/>
          <w:lang w:eastAsia="zh-CN"/>
        </w:rPr>
        <w:t>。</w:t>
      </w:r>
    </w:p>
    <w:p w14:paraId="0C03A9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highlight w:val="none"/>
          <w:lang w:val="en-US" w:eastAsia="zh-CN"/>
        </w:rPr>
      </w:pPr>
      <w:r>
        <w:rPr>
          <w:rFonts w:hint="eastAsia" w:ascii="仿宋" w:hAnsi="仿宋" w:eastAsia="仿宋" w:cs="仿宋"/>
          <w:b/>
          <w:bCs/>
          <w:sz w:val="32"/>
          <w:szCs w:val="32"/>
          <w:highlight w:val="none"/>
          <w:lang w:val="en-US" w:eastAsia="zh-CN"/>
        </w:rPr>
        <w:t>服务小微：</w:t>
      </w:r>
      <w:r>
        <w:rPr>
          <w:rFonts w:hint="eastAsia" w:ascii="仿宋" w:hAnsi="仿宋" w:eastAsia="仿宋" w:cs="仿宋"/>
          <w:kern w:val="0"/>
          <w:sz w:val="32"/>
          <w:szCs w:val="32"/>
          <w:highlight w:val="none"/>
          <w:lang w:val="en-US" w:eastAsia="zh-CN"/>
        </w:rPr>
        <w:t>信贷政策支持、创新产品支持、平台渠道支持等；</w:t>
      </w:r>
    </w:p>
    <w:tbl>
      <w:tblPr>
        <w:tblStyle w:val="13"/>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14:paraId="3E25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14:paraId="171940B5">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指标名称</w:t>
            </w:r>
          </w:p>
        </w:tc>
        <w:tc>
          <w:tcPr>
            <w:tcW w:w="1134" w:type="dxa"/>
            <w:shd w:val="clear" w:color="auto" w:fill="DEEBF6" w:themeFill="accent1" w:themeFillTint="32"/>
            <w:vAlign w:val="center"/>
          </w:tcPr>
          <w:p w14:paraId="24BA06A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4" w:type="dxa"/>
            <w:shd w:val="clear" w:color="auto" w:fill="DEEBF6" w:themeFill="accent1" w:themeFillTint="32"/>
            <w:vAlign w:val="center"/>
          </w:tcPr>
          <w:p w14:paraId="3A95B78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val="0"/>
                <w:bCs w:val="0"/>
                <w:color w:val="auto"/>
                <w:kern w:val="2"/>
                <w:sz w:val="24"/>
                <w:szCs w:val="24"/>
                <w:highlight w:val="none"/>
                <w:vertAlign w:val="baseline"/>
                <w:lang w:val="en-US" w:eastAsia="zh-CN" w:bidi="ar-SA"/>
              </w:rPr>
              <w:t>2022年</w:t>
            </w:r>
          </w:p>
        </w:tc>
        <w:tc>
          <w:tcPr>
            <w:tcW w:w="1705" w:type="dxa"/>
            <w:shd w:val="clear" w:color="auto" w:fill="DEEBF6" w:themeFill="accent1" w:themeFillTint="32"/>
            <w:vAlign w:val="center"/>
          </w:tcPr>
          <w:p w14:paraId="499BF35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2023年</w:t>
            </w:r>
          </w:p>
        </w:tc>
        <w:tc>
          <w:tcPr>
            <w:tcW w:w="1705" w:type="dxa"/>
            <w:shd w:val="clear" w:color="auto" w:fill="DEEBF6" w:themeFill="accent1" w:themeFillTint="32"/>
            <w:vAlign w:val="center"/>
          </w:tcPr>
          <w:p w14:paraId="377935D5">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2024年</w:t>
            </w:r>
          </w:p>
        </w:tc>
      </w:tr>
      <w:tr w14:paraId="55F9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72DFB5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小微企业贷款余额</w:t>
            </w:r>
          </w:p>
        </w:tc>
        <w:tc>
          <w:tcPr>
            <w:tcW w:w="1134" w:type="dxa"/>
            <w:vAlign w:val="center"/>
          </w:tcPr>
          <w:p w14:paraId="69CFA577">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万元</w:t>
            </w:r>
          </w:p>
        </w:tc>
        <w:tc>
          <w:tcPr>
            <w:tcW w:w="1704" w:type="dxa"/>
            <w:vAlign w:val="center"/>
          </w:tcPr>
          <w:p w14:paraId="51C0E71D">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41187.93</w:t>
            </w:r>
          </w:p>
        </w:tc>
        <w:tc>
          <w:tcPr>
            <w:tcW w:w="1705" w:type="dxa"/>
            <w:vAlign w:val="center"/>
          </w:tcPr>
          <w:p w14:paraId="2AAFFBB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52308.59</w:t>
            </w:r>
          </w:p>
        </w:tc>
        <w:tc>
          <w:tcPr>
            <w:tcW w:w="1705" w:type="dxa"/>
            <w:shd w:val="clear" w:color="auto" w:fill="auto"/>
            <w:vAlign w:val="center"/>
          </w:tcPr>
          <w:p w14:paraId="3966B46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53334.58</w:t>
            </w:r>
          </w:p>
        </w:tc>
      </w:tr>
      <w:tr w14:paraId="137F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9160DDB">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小微企业贷款占比</w:t>
            </w:r>
          </w:p>
        </w:tc>
        <w:tc>
          <w:tcPr>
            <w:tcW w:w="1134" w:type="dxa"/>
            <w:vAlign w:val="center"/>
          </w:tcPr>
          <w:p w14:paraId="617AC1C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704" w:type="dxa"/>
            <w:vAlign w:val="center"/>
          </w:tcPr>
          <w:p w14:paraId="2690A60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39.73</w:t>
            </w:r>
          </w:p>
        </w:tc>
        <w:tc>
          <w:tcPr>
            <w:tcW w:w="1705" w:type="dxa"/>
            <w:vAlign w:val="center"/>
          </w:tcPr>
          <w:p w14:paraId="0AEEBDB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45.53</w:t>
            </w:r>
          </w:p>
        </w:tc>
        <w:tc>
          <w:tcPr>
            <w:tcW w:w="1705" w:type="dxa"/>
            <w:shd w:val="clear" w:color="auto" w:fill="auto"/>
            <w:vAlign w:val="center"/>
          </w:tcPr>
          <w:p w14:paraId="7C61B92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46.8</w:t>
            </w:r>
          </w:p>
        </w:tc>
      </w:tr>
      <w:tr w14:paraId="03A8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08AADA9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小微企业贷款客户数量</w:t>
            </w:r>
          </w:p>
        </w:tc>
        <w:tc>
          <w:tcPr>
            <w:tcW w:w="1134" w:type="dxa"/>
            <w:vAlign w:val="center"/>
          </w:tcPr>
          <w:p w14:paraId="170F36C3">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户</w:t>
            </w:r>
          </w:p>
        </w:tc>
        <w:tc>
          <w:tcPr>
            <w:tcW w:w="1704" w:type="dxa"/>
            <w:vAlign w:val="center"/>
          </w:tcPr>
          <w:p w14:paraId="038A860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2160</w:t>
            </w:r>
          </w:p>
        </w:tc>
        <w:tc>
          <w:tcPr>
            <w:tcW w:w="1705" w:type="dxa"/>
            <w:vAlign w:val="center"/>
          </w:tcPr>
          <w:p w14:paraId="560F404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2454</w:t>
            </w:r>
          </w:p>
        </w:tc>
        <w:tc>
          <w:tcPr>
            <w:tcW w:w="1705" w:type="dxa"/>
            <w:shd w:val="clear" w:color="auto" w:fill="auto"/>
            <w:vAlign w:val="center"/>
          </w:tcPr>
          <w:p w14:paraId="2D61D27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2483</w:t>
            </w:r>
          </w:p>
        </w:tc>
      </w:tr>
    </w:tbl>
    <w:p w14:paraId="731E47A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优质服务：</w:t>
      </w:r>
    </w:p>
    <w:p w14:paraId="411400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服务广大群众，提升企业形象。本行内抓管理外树形象，积极提升服务质效，履行社会责任，参加社会公益活动，促进当地社会经济的和谐发展。主要从硬件和软件两方面着手：硬件上重视对服务环境的不断改进和完善，全力营造“环境优美整洁、客户满意舒心”的营业办公环境。硬件上，本行总部于2022年1月搬迁至新营业办公大楼，新大楼办公区域更加优化，营业环境更加舒适，服务功能更加多样。软件上，加强了对员工的教育培训工作，成立培训小组并制定教育培训计划，每月坚持全行集中学习；每季度组织员工进行业务技能大练兵，并进行系统的业务知识培训和考核；每季度非现场服务检查，着力提升员工在服务礼仪、工作质效、文明用语等方面素质。2024年被湖南省村镇银行协会评为“四星级网点”，本行持续开展“送金融服务下乡”活动，内容包括设立金融便民服务站、免费送水服务、金融知识讲座、反假币宣传、征信日宣传、消费者权益保护日宣传等。       </w:t>
      </w:r>
    </w:p>
    <w:p w14:paraId="2C3C916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本行号召行内员工以向农户和小微企业进行宣传，对于符合准入条件的对象，本行第一时间介入调研，快速审查审批，通过及时授信帮助客户渡过难关。太和镇湾塘村以中药材种植为主，为更好地为农户提供服务支持，本行营销人员每年把中药材作为全行的重头戏。通过现场调查资金需求，本行开启支农惠农金融服务“绿色通道”，让农户“不多等、不白跑、不耽误”。本行还克服产品局限性，精耕细作农户贷款，针对农户贷款“金额小、期限短、季节性强”的特点，推出“家庭贷”等多种信贷产品，农户可根据经济情况选择提前还款。该产品确保春耕备耕信贷资金的精准投放，为农户春耕备耕注入了信贷“及时雨”。每年秋收时节，本行关注农户最新动态，助力农民增收，构建符合“三农”金融需求的特色经营模式。截至2024年末，本行各项贷款余额为11.39亿元，比年初增加-908.65万元，</w:t>
      </w:r>
      <w:r>
        <w:rPr>
          <w:rFonts w:hint="eastAsia" w:ascii="仿宋" w:hAnsi="仿宋" w:eastAsia="仿宋" w:cs="仿宋"/>
          <w:sz w:val="32"/>
          <w:szCs w:val="32"/>
          <w:highlight w:val="none"/>
          <w:lang w:val="en-US" w:eastAsia="zh-CN"/>
        </w:rPr>
        <w:t>农户贷款余额10.83亿元，普惠小微企业贷款余额5.33亿元，</w:t>
      </w:r>
      <w:r>
        <w:rPr>
          <w:rFonts w:hint="eastAsia" w:ascii="仿宋" w:hAnsi="仿宋" w:eastAsia="仿宋" w:cs="仿宋"/>
          <w:b w:val="0"/>
          <w:bCs w:val="0"/>
          <w:sz w:val="32"/>
          <w:szCs w:val="32"/>
          <w:highlight w:val="none"/>
          <w:lang w:val="en-US" w:eastAsia="zh-CN"/>
        </w:rPr>
        <w:t>农户和小微贷款合计占全部贷款比重达到95.46%。</w:t>
      </w:r>
    </w:p>
    <w:p w14:paraId="13036E5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highlight w:val="none"/>
          <w:lang w:val="en-US" w:eastAsia="zh-CN"/>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bCs/>
          <w:sz w:val="32"/>
          <w:szCs w:val="32"/>
          <w:highlight w:val="none"/>
          <w:lang w:val="en-US" w:eastAsia="zh-CN"/>
        </w:rPr>
        <w:t>二、社会责任</w:t>
      </w:r>
    </w:p>
    <w:tbl>
      <w:tblPr>
        <w:tblStyle w:val="13"/>
        <w:tblpPr w:leftFromText="180" w:rightFromText="180" w:vertAnchor="text" w:horzAnchor="page" w:tblpX="1726" w:tblpY="707"/>
        <w:tblOverlap w:val="never"/>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1"/>
        <w:gridCol w:w="3"/>
        <w:gridCol w:w="3"/>
        <w:gridCol w:w="1700"/>
        <w:gridCol w:w="9"/>
        <w:gridCol w:w="1687"/>
        <w:gridCol w:w="11"/>
      </w:tblGrid>
      <w:tr w14:paraId="7FBA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14:paraId="1EFF1435">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指标名称</w:t>
            </w:r>
          </w:p>
        </w:tc>
        <w:tc>
          <w:tcPr>
            <w:tcW w:w="1134" w:type="dxa"/>
            <w:shd w:val="clear" w:color="auto" w:fill="DEEBF6" w:themeFill="accent1" w:themeFillTint="32"/>
            <w:vAlign w:val="center"/>
          </w:tcPr>
          <w:p w14:paraId="20CC4678">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4" w:type="dxa"/>
            <w:gridSpan w:val="2"/>
            <w:shd w:val="clear" w:color="auto" w:fill="DEEBF6" w:themeFill="accent1" w:themeFillTint="32"/>
            <w:vAlign w:val="center"/>
          </w:tcPr>
          <w:p w14:paraId="59C3D6FE">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2022年</w:t>
            </w:r>
          </w:p>
        </w:tc>
        <w:tc>
          <w:tcPr>
            <w:tcW w:w="1712" w:type="dxa"/>
            <w:gridSpan w:val="3"/>
            <w:shd w:val="clear" w:color="auto" w:fill="DEEBF6" w:themeFill="accent1" w:themeFillTint="32"/>
            <w:vAlign w:val="center"/>
          </w:tcPr>
          <w:p w14:paraId="07E94B6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2023年</w:t>
            </w:r>
          </w:p>
        </w:tc>
        <w:tc>
          <w:tcPr>
            <w:tcW w:w="1698" w:type="dxa"/>
            <w:gridSpan w:val="2"/>
            <w:shd w:val="clear" w:color="auto" w:fill="DEEBF6" w:themeFill="accent1" w:themeFillTint="32"/>
            <w:vAlign w:val="center"/>
          </w:tcPr>
          <w:p w14:paraId="27A89E7E">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2024年</w:t>
            </w:r>
          </w:p>
        </w:tc>
      </w:tr>
      <w:tr w14:paraId="1DEC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53E4690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员工总数</w:t>
            </w:r>
          </w:p>
        </w:tc>
        <w:tc>
          <w:tcPr>
            <w:tcW w:w="1134" w:type="dxa"/>
            <w:vAlign w:val="center"/>
          </w:tcPr>
          <w:p w14:paraId="2DD58C7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人</w:t>
            </w:r>
          </w:p>
        </w:tc>
        <w:tc>
          <w:tcPr>
            <w:tcW w:w="1707" w:type="dxa"/>
            <w:gridSpan w:val="3"/>
            <w:vAlign w:val="center"/>
          </w:tcPr>
          <w:p w14:paraId="2B73359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61</w:t>
            </w:r>
          </w:p>
        </w:tc>
        <w:tc>
          <w:tcPr>
            <w:tcW w:w="1700" w:type="dxa"/>
            <w:vAlign w:val="center"/>
          </w:tcPr>
          <w:p w14:paraId="00B6D023">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60</w:t>
            </w:r>
          </w:p>
        </w:tc>
        <w:tc>
          <w:tcPr>
            <w:tcW w:w="0" w:type="auto"/>
            <w:vAlign w:val="center"/>
          </w:tcPr>
          <w:p w14:paraId="39B12ED1">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highlight w:val="none"/>
              </w:rPr>
            </w:pPr>
          </w:p>
        </w:tc>
        <w:tc>
          <w:tcPr>
            <w:tcW w:w="1687" w:type="dxa"/>
            <w:shd w:val="clear" w:color="auto" w:fill="auto"/>
            <w:vAlign w:val="center"/>
          </w:tcPr>
          <w:p w14:paraId="49A3C80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57</w:t>
            </w:r>
          </w:p>
        </w:tc>
      </w:tr>
      <w:tr w14:paraId="0579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275DE44B">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女性员工占比</w:t>
            </w:r>
          </w:p>
        </w:tc>
        <w:tc>
          <w:tcPr>
            <w:tcW w:w="1134" w:type="dxa"/>
            <w:vAlign w:val="center"/>
          </w:tcPr>
          <w:p w14:paraId="367CDE4A">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707" w:type="dxa"/>
            <w:gridSpan w:val="3"/>
            <w:vAlign w:val="center"/>
          </w:tcPr>
          <w:p w14:paraId="7784234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41</w:t>
            </w:r>
          </w:p>
        </w:tc>
        <w:tc>
          <w:tcPr>
            <w:tcW w:w="1700" w:type="dxa"/>
            <w:vAlign w:val="center"/>
          </w:tcPr>
          <w:p w14:paraId="189A7E40">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36</w:t>
            </w:r>
          </w:p>
        </w:tc>
        <w:tc>
          <w:tcPr>
            <w:tcW w:w="0" w:type="auto"/>
            <w:vAlign w:val="center"/>
          </w:tcPr>
          <w:p w14:paraId="3E6E1133">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highlight w:val="none"/>
              </w:rPr>
            </w:pPr>
          </w:p>
        </w:tc>
        <w:tc>
          <w:tcPr>
            <w:tcW w:w="1687" w:type="dxa"/>
            <w:shd w:val="clear" w:color="auto" w:fill="auto"/>
            <w:vAlign w:val="center"/>
          </w:tcPr>
          <w:p w14:paraId="261F797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56.9</w:t>
            </w:r>
          </w:p>
        </w:tc>
      </w:tr>
      <w:tr w14:paraId="2636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2428C2C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员工流失率</w:t>
            </w:r>
          </w:p>
        </w:tc>
        <w:tc>
          <w:tcPr>
            <w:tcW w:w="1134" w:type="dxa"/>
            <w:vAlign w:val="center"/>
          </w:tcPr>
          <w:p w14:paraId="565E748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707" w:type="dxa"/>
            <w:gridSpan w:val="3"/>
            <w:vAlign w:val="center"/>
          </w:tcPr>
          <w:p w14:paraId="4B88FD6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w:t>
            </w:r>
          </w:p>
        </w:tc>
        <w:tc>
          <w:tcPr>
            <w:tcW w:w="1700" w:type="dxa"/>
            <w:vAlign w:val="center"/>
          </w:tcPr>
          <w:p w14:paraId="1DBBDE2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8.96</w:t>
            </w:r>
          </w:p>
        </w:tc>
        <w:tc>
          <w:tcPr>
            <w:tcW w:w="0" w:type="auto"/>
            <w:vAlign w:val="center"/>
          </w:tcPr>
          <w:p w14:paraId="5D006F7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highlight w:val="none"/>
              </w:rPr>
            </w:pPr>
          </w:p>
        </w:tc>
        <w:tc>
          <w:tcPr>
            <w:tcW w:w="1687" w:type="dxa"/>
            <w:shd w:val="clear" w:color="auto" w:fill="auto"/>
            <w:vAlign w:val="center"/>
          </w:tcPr>
          <w:p w14:paraId="7758829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8.47</w:t>
            </w:r>
          </w:p>
        </w:tc>
      </w:tr>
      <w:tr w14:paraId="38BE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113116CD">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培训项目数</w:t>
            </w:r>
          </w:p>
        </w:tc>
        <w:tc>
          <w:tcPr>
            <w:tcW w:w="1134" w:type="dxa"/>
            <w:vAlign w:val="center"/>
          </w:tcPr>
          <w:p w14:paraId="20230E9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场</w:t>
            </w:r>
          </w:p>
        </w:tc>
        <w:tc>
          <w:tcPr>
            <w:tcW w:w="1707" w:type="dxa"/>
            <w:gridSpan w:val="3"/>
            <w:vAlign w:val="center"/>
          </w:tcPr>
          <w:p w14:paraId="430C023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36</w:t>
            </w:r>
          </w:p>
        </w:tc>
        <w:tc>
          <w:tcPr>
            <w:tcW w:w="1700" w:type="dxa"/>
            <w:vAlign w:val="center"/>
          </w:tcPr>
          <w:p w14:paraId="622A7EB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37</w:t>
            </w:r>
          </w:p>
        </w:tc>
        <w:tc>
          <w:tcPr>
            <w:tcW w:w="0" w:type="auto"/>
            <w:vAlign w:val="center"/>
          </w:tcPr>
          <w:p w14:paraId="0AB583FC">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highlight w:val="none"/>
              </w:rPr>
            </w:pPr>
          </w:p>
        </w:tc>
        <w:tc>
          <w:tcPr>
            <w:tcW w:w="1687" w:type="dxa"/>
            <w:vAlign w:val="center"/>
          </w:tcPr>
          <w:p w14:paraId="643FC9E9">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38</w:t>
            </w:r>
          </w:p>
        </w:tc>
      </w:tr>
      <w:tr w14:paraId="7DEA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53579AEC">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培训人次</w:t>
            </w:r>
          </w:p>
        </w:tc>
        <w:tc>
          <w:tcPr>
            <w:tcW w:w="1134" w:type="dxa"/>
            <w:vAlign w:val="center"/>
          </w:tcPr>
          <w:p w14:paraId="739D9DF4">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人次</w:t>
            </w:r>
          </w:p>
        </w:tc>
        <w:tc>
          <w:tcPr>
            <w:tcW w:w="1707" w:type="dxa"/>
            <w:gridSpan w:val="3"/>
            <w:vAlign w:val="center"/>
          </w:tcPr>
          <w:p w14:paraId="01A044DC">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125</w:t>
            </w:r>
          </w:p>
        </w:tc>
        <w:tc>
          <w:tcPr>
            <w:tcW w:w="1700" w:type="dxa"/>
            <w:vAlign w:val="center"/>
          </w:tcPr>
          <w:p w14:paraId="58F4E12C">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195</w:t>
            </w:r>
          </w:p>
        </w:tc>
        <w:tc>
          <w:tcPr>
            <w:tcW w:w="0" w:type="auto"/>
            <w:vAlign w:val="center"/>
          </w:tcPr>
          <w:p w14:paraId="4C3E110B">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highlight w:val="none"/>
              </w:rPr>
            </w:pPr>
          </w:p>
        </w:tc>
        <w:tc>
          <w:tcPr>
            <w:tcW w:w="1687" w:type="dxa"/>
            <w:vAlign w:val="center"/>
          </w:tcPr>
          <w:p w14:paraId="1F2A38F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198</w:t>
            </w:r>
          </w:p>
        </w:tc>
      </w:tr>
      <w:tr w14:paraId="5A8B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383B0D61">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人均培训经费支出</w:t>
            </w:r>
          </w:p>
        </w:tc>
        <w:tc>
          <w:tcPr>
            <w:tcW w:w="1134" w:type="dxa"/>
            <w:vAlign w:val="center"/>
          </w:tcPr>
          <w:p w14:paraId="49C4F0B8">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万元</w:t>
            </w:r>
          </w:p>
        </w:tc>
        <w:tc>
          <w:tcPr>
            <w:tcW w:w="1701" w:type="dxa"/>
            <w:vAlign w:val="center"/>
          </w:tcPr>
          <w:p w14:paraId="3D0B9F63">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0.54</w:t>
            </w:r>
          </w:p>
        </w:tc>
        <w:tc>
          <w:tcPr>
            <w:tcW w:w="1715" w:type="dxa"/>
            <w:gridSpan w:val="4"/>
            <w:vAlign w:val="center"/>
          </w:tcPr>
          <w:p w14:paraId="59FECCE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0.62</w:t>
            </w:r>
          </w:p>
        </w:tc>
        <w:tc>
          <w:tcPr>
            <w:tcW w:w="1687" w:type="dxa"/>
            <w:vAlign w:val="center"/>
          </w:tcPr>
          <w:p w14:paraId="758AB996">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0.68</w:t>
            </w:r>
          </w:p>
        </w:tc>
      </w:tr>
    </w:tbl>
    <w:p w14:paraId="1FE69D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right="0" w:rightChars="0" w:firstLine="643" w:firstLineChars="200"/>
        <w:jc w:val="both"/>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（一）员工责任</w:t>
      </w:r>
    </w:p>
    <w:p w14:paraId="0AF5E9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right="0" w:rightChars="0"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2024年7</w:t>
      </w:r>
      <w:r>
        <w:rPr>
          <w:rFonts w:hint="eastAsia" w:ascii="仿宋" w:hAnsi="仿宋" w:eastAsia="仿宋" w:cs="仿宋"/>
          <w:kern w:val="2"/>
          <w:sz w:val="32"/>
          <w:szCs w:val="32"/>
          <w:highlight w:val="none"/>
          <w:lang w:val="en-US" w:bidi="ar-SA"/>
        </w:rPr>
        <w:t>月</w:t>
      </w:r>
      <w:r>
        <w:rPr>
          <w:rFonts w:hint="eastAsia" w:ascii="仿宋" w:hAnsi="仿宋" w:eastAsia="仿宋" w:cs="仿宋"/>
          <w:kern w:val="2"/>
          <w:sz w:val="32"/>
          <w:szCs w:val="32"/>
          <w:highlight w:val="none"/>
          <w:lang w:val="en-US" w:eastAsia="zh-CN" w:bidi="ar-SA"/>
        </w:rPr>
        <w:t>24</w:t>
      </w:r>
      <w:r>
        <w:rPr>
          <w:rFonts w:hint="eastAsia" w:ascii="仿宋" w:hAnsi="仿宋" w:eastAsia="仿宋" w:cs="仿宋"/>
          <w:kern w:val="2"/>
          <w:sz w:val="32"/>
          <w:szCs w:val="32"/>
          <w:highlight w:val="none"/>
          <w:lang w:val="en-US" w:bidi="ar-SA"/>
        </w:rPr>
        <w:t>日</w:t>
      </w:r>
      <w:r>
        <w:rPr>
          <w:rFonts w:hint="eastAsia" w:ascii="仿宋" w:hAnsi="仿宋" w:eastAsia="仿宋" w:cs="仿宋"/>
          <w:kern w:val="2"/>
          <w:sz w:val="32"/>
          <w:szCs w:val="32"/>
          <w:highlight w:val="none"/>
          <w:lang w:val="en-US" w:eastAsia="zh-CN" w:bidi="ar-SA"/>
        </w:rPr>
        <w:t>，本行董事长尹日升</w:t>
      </w:r>
      <w:r>
        <w:rPr>
          <w:rFonts w:hint="eastAsia" w:ascii="仿宋" w:hAnsi="仿宋" w:eastAsia="仿宋" w:cs="仿宋"/>
          <w:kern w:val="2"/>
          <w:sz w:val="32"/>
          <w:szCs w:val="32"/>
          <w:highlight w:val="none"/>
          <w:lang w:bidi="ar-SA"/>
        </w:rPr>
        <w:t>一行</w:t>
      </w:r>
      <w:r>
        <w:rPr>
          <w:rFonts w:hint="eastAsia" w:ascii="仿宋" w:hAnsi="仿宋" w:eastAsia="仿宋" w:cs="仿宋"/>
          <w:kern w:val="2"/>
          <w:sz w:val="32"/>
          <w:szCs w:val="32"/>
          <w:highlight w:val="none"/>
          <w:lang w:val="en-US" w:eastAsia="zh-CN" w:bidi="ar-SA"/>
        </w:rPr>
        <w:t>人</w:t>
      </w:r>
      <w:r>
        <w:rPr>
          <w:rFonts w:hint="eastAsia" w:ascii="仿宋" w:hAnsi="仿宋" w:eastAsia="仿宋" w:cs="仿宋"/>
          <w:kern w:val="2"/>
          <w:sz w:val="32"/>
          <w:szCs w:val="32"/>
          <w:highlight w:val="none"/>
          <w:lang w:bidi="ar-SA"/>
        </w:rPr>
        <w:t>来到困难员工家中与</w:t>
      </w:r>
      <w:r>
        <w:rPr>
          <w:rFonts w:hint="eastAsia" w:ascii="仿宋" w:hAnsi="仿宋" w:eastAsia="仿宋" w:cs="仿宋"/>
          <w:kern w:val="2"/>
          <w:sz w:val="32"/>
          <w:szCs w:val="32"/>
          <w:highlight w:val="none"/>
          <w:lang w:val="en-US" w:eastAsia="zh-CN" w:bidi="ar-SA"/>
        </w:rPr>
        <w:t>他们</w:t>
      </w:r>
      <w:r>
        <w:rPr>
          <w:rFonts w:hint="eastAsia" w:ascii="仿宋" w:hAnsi="仿宋" w:eastAsia="仿宋" w:cs="仿宋"/>
          <w:kern w:val="2"/>
          <w:sz w:val="32"/>
          <w:szCs w:val="32"/>
          <w:highlight w:val="none"/>
          <w:lang w:bidi="ar-SA"/>
        </w:rPr>
        <w:t>亲切交谈，详细了解困难员工的家庭生活情况，</w:t>
      </w:r>
      <w:r>
        <w:rPr>
          <w:rFonts w:hint="eastAsia" w:ascii="仿宋" w:hAnsi="仿宋" w:eastAsia="仿宋" w:cs="仿宋"/>
          <w:kern w:val="2"/>
          <w:sz w:val="32"/>
          <w:szCs w:val="32"/>
          <w:highlight w:val="none"/>
          <w:lang w:val="en-US" w:eastAsia="zh-CN" w:bidi="ar-SA"/>
        </w:rPr>
        <w:t>并</w:t>
      </w:r>
      <w:r>
        <w:rPr>
          <w:rFonts w:hint="eastAsia" w:ascii="仿宋" w:hAnsi="仿宋" w:eastAsia="仿宋" w:cs="仿宋"/>
          <w:kern w:val="2"/>
          <w:sz w:val="32"/>
          <w:szCs w:val="32"/>
          <w:highlight w:val="none"/>
          <w:lang w:bidi="ar-SA"/>
        </w:rPr>
        <w:t>向困难员工送上慰问金</w:t>
      </w:r>
      <w:r>
        <w:rPr>
          <w:rFonts w:hint="eastAsia" w:ascii="仿宋" w:hAnsi="仿宋" w:eastAsia="仿宋" w:cs="仿宋"/>
          <w:kern w:val="2"/>
          <w:sz w:val="32"/>
          <w:szCs w:val="32"/>
          <w:highlight w:val="none"/>
          <w:lang w:val="en-US" w:eastAsia="zh-CN" w:bidi="ar-SA"/>
        </w:rPr>
        <w:t>和</w:t>
      </w:r>
      <w:r>
        <w:rPr>
          <w:rFonts w:hint="eastAsia" w:ascii="仿宋" w:hAnsi="仿宋" w:eastAsia="仿宋" w:cs="仿宋"/>
          <w:kern w:val="2"/>
          <w:sz w:val="32"/>
          <w:szCs w:val="32"/>
          <w:highlight w:val="none"/>
          <w:lang w:bidi="ar-SA"/>
        </w:rPr>
        <w:t>慰问物资，鼓励他们积极面对生活，保持乐观心态</w:t>
      </w:r>
      <w:r>
        <w:rPr>
          <w:rFonts w:hint="eastAsia" w:ascii="仿宋" w:hAnsi="仿宋" w:eastAsia="仿宋" w:cs="仿宋"/>
          <w:kern w:val="2"/>
          <w:sz w:val="32"/>
          <w:szCs w:val="32"/>
          <w:highlight w:val="none"/>
          <w:lang w:eastAsia="zh-CN" w:bidi="ar-SA"/>
        </w:rPr>
        <w:t>，</w:t>
      </w:r>
      <w:r>
        <w:rPr>
          <w:rFonts w:hint="eastAsia" w:ascii="仿宋" w:hAnsi="仿宋" w:eastAsia="仿宋" w:cs="仿宋"/>
          <w:kern w:val="2"/>
          <w:sz w:val="32"/>
          <w:szCs w:val="32"/>
          <w:highlight w:val="none"/>
          <w:lang w:bidi="ar-SA"/>
        </w:rPr>
        <w:t>困难员工</w:t>
      </w:r>
      <w:r>
        <w:rPr>
          <w:rFonts w:hint="eastAsia" w:ascii="仿宋" w:hAnsi="仿宋" w:eastAsia="仿宋" w:cs="仿宋"/>
          <w:kern w:val="2"/>
          <w:sz w:val="32"/>
          <w:szCs w:val="32"/>
          <w:highlight w:val="none"/>
          <w:lang w:val="en-US" w:eastAsia="zh-CN" w:bidi="ar-SA"/>
        </w:rPr>
        <w:t>及其</w:t>
      </w:r>
      <w:r>
        <w:rPr>
          <w:rFonts w:hint="eastAsia" w:ascii="仿宋" w:hAnsi="仿宋" w:eastAsia="仿宋" w:cs="仿宋"/>
          <w:kern w:val="2"/>
          <w:sz w:val="32"/>
          <w:szCs w:val="32"/>
          <w:highlight w:val="none"/>
          <w:lang w:bidi="ar-SA"/>
        </w:rPr>
        <w:t>家属深受感动，表示十分感谢</w:t>
      </w:r>
      <w:r>
        <w:rPr>
          <w:rFonts w:hint="eastAsia" w:ascii="仿宋" w:hAnsi="仿宋" w:eastAsia="仿宋" w:cs="仿宋"/>
          <w:kern w:val="2"/>
          <w:sz w:val="32"/>
          <w:szCs w:val="32"/>
          <w:highlight w:val="none"/>
          <w:lang w:val="en-US" w:eastAsia="zh-CN" w:bidi="ar-SA"/>
        </w:rPr>
        <w:t>本行</w:t>
      </w:r>
      <w:r>
        <w:rPr>
          <w:rFonts w:hint="eastAsia" w:ascii="仿宋" w:hAnsi="仿宋" w:eastAsia="仿宋" w:cs="仿宋"/>
          <w:kern w:val="2"/>
          <w:sz w:val="32"/>
          <w:szCs w:val="32"/>
          <w:highlight w:val="none"/>
          <w:lang w:bidi="ar-SA"/>
        </w:rPr>
        <w:t>的关心和帮助</w:t>
      </w:r>
      <w:r>
        <w:rPr>
          <w:rFonts w:hint="eastAsia" w:ascii="仿宋" w:hAnsi="仿宋" w:eastAsia="仿宋" w:cs="仿宋"/>
          <w:kern w:val="2"/>
          <w:sz w:val="32"/>
          <w:szCs w:val="32"/>
          <w:highlight w:val="none"/>
          <w:lang w:eastAsia="zh-CN" w:bidi="ar-SA"/>
        </w:rPr>
        <w:t>。</w:t>
      </w:r>
    </w:p>
    <w:p w14:paraId="69C0312B">
      <w:pPr>
        <w:keepNext w:val="0"/>
        <w:keepLines w:val="0"/>
        <w:pageBreakBefore w:val="0"/>
        <w:numPr>
          <w:ilvl w:val="0"/>
          <w:numId w:val="0"/>
        </w:numPr>
        <w:kinsoku/>
        <w:wordWrap/>
        <w:overflowPunct/>
        <w:topLinePunct w:val="0"/>
        <w:autoSpaceDE/>
        <w:autoSpaceDN/>
        <w:bidi w:val="0"/>
        <w:snapToGrid/>
        <w:spacing w:line="600" w:lineRule="exact"/>
        <w:ind w:leftChars="0"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（二）金融教育责任</w:t>
      </w:r>
    </w:p>
    <w:p w14:paraId="3EC75351">
      <w:pPr>
        <w:keepNext w:val="0"/>
        <w:keepLines w:val="0"/>
        <w:pageBreakBefore w:val="0"/>
        <w:numPr>
          <w:ilvl w:val="0"/>
          <w:numId w:val="0"/>
        </w:numPr>
        <w:kinsoku/>
        <w:wordWrap/>
        <w:overflowPunct/>
        <w:topLinePunct w:val="0"/>
        <w:autoSpaceDE/>
        <w:autoSpaceDN/>
        <w:bidi w:val="0"/>
        <w:snapToGrid/>
        <w:spacing w:line="600" w:lineRule="exact"/>
        <w:ind w:leftChars="0"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1.大力开展公众金融教育宣传</w:t>
      </w:r>
    </w:p>
    <w:p w14:paraId="3F927C5F">
      <w:pPr>
        <w:keepNext w:val="0"/>
        <w:keepLines w:val="0"/>
        <w:pageBreakBefore w:val="0"/>
        <w:numPr>
          <w:ilvl w:val="0"/>
          <w:numId w:val="0"/>
        </w:numPr>
        <w:kinsoku/>
        <w:wordWrap/>
        <w:overflowPunct/>
        <w:topLinePunct w:val="0"/>
        <w:autoSpaceDE/>
        <w:autoSpaceDN/>
        <w:bidi w:val="0"/>
        <w:snapToGrid/>
        <w:spacing w:line="600" w:lineRule="exact"/>
        <w:ind w:leftChars="0" w:firstLine="640" w:firstLineChars="200"/>
        <w:jc w:val="left"/>
        <w:textAlignment w:val="auto"/>
        <w:rPr>
          <w:rFonts w:hint="eastAsia" w:ascii="仿宋" w:hAnsi="仿宋" w:eastAsia="仿宋" w:cs="仿宋"/>
          <w:b/>
          <w:bCs/>
          <w:color w:val="auto"/>
          <w:kern w:val="2"/>
          <w:sz w:val="32"/>
          <w:szCs w:val="32"/>
          <w:highlight w:val="none"/>
          <w:lang w:val="en-US" w:eastAsia="zh-CN"/>
        </w:rPr>
      </w:pPr>
      <w:r>
        <w:rPr>
          <w:rFonts w:hint="eastAsia" w:ascii="仿宋" w:hAnsi="仿宋" w:eastAsia="仿宋" w:cs="仿宋"/>
          <w:b w:val="0"/>
          <w:bCs w:val="0"/>
          <w:sz w:val="32"/>
          <w:szCs w:val="32"/>
          <w:highlight w:val="none"/>
          <w:lang w:val="en-US" w:eastAsia="zh-CN"/>
        </w:rPr>
        <w:t>2024年公众金融教育累计投入1.8万元，服务消费者3000人次。</w:t>
      </w:r>
    </w:p>
    <w:p w14:paraId="5799E7B1">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1</w:t>
      </w:r>
      <w:r>
        <w:rPr>
          <w:rFonts w:hint="eastAsia" w:ascii="仿宋" w:hAnsi="仿宋" w:eastAsia="仿宋" w:cs="仿宋"/>
          <w:color w:val="auto"/>
          <w:kern w:val="2"/>
          <w:sz w:val="32"/>
          <w:szCs w:val="32"/>
          <w:highlight w:val="none"/>
        </w:rPr>
        <w:t>）依托物理网点为阵地开展教育宣传，利用走马灯、电子多媒体显示屏、自助机具等媒体设备播放宣传内容；设立公众教育区，张贴宣传海报，发放宣传资料，安排工作人员提供现场咨询讲解等；举办专题教育讲座或培训；金融知识教育宣传材料应与银行产品营销材料显著区分，突出教育宣传的公益性</w:t>
      </w:r>
      <w:r>
        <w:rPr>
          <w:rFonts w:hint="eastAsia" w:ascii="仿宋" w:hAnsi="仿宋" w:eastAsia="仿宋" w:cs="仿宋"/>
          <w:color w:val="auto"/>
          <w:kern w:val="2"/>
          <w:sz w:val="32"/>
          <w:szCs w:val="32"/>
          <w:highlight w:val="none"/>
          <w:lang w:eastAsia="zh-CN"/>
        </w:rPr>
        <w:t>；</w:t>
      </w:r>
    </w:p>
    <w:p w14:paraId="55A02A48">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2</w:t>
      </w:r>
      <w:r>
        <w:rPr>
          <w:rFonts w:hint="eastAsia" w:ascii="仿宋" w:hAnsi="仿宋" w:eastAsia="仿宋" w:cs="仿宋"/>
          <w:color w:val="auto"/>
          <w:kern w:val="2"/>
          <w:sz w:val="32"/>
          <w:szCs w:val="32"/>
          <w:highlight w:val="none"/>
        </w:rPr>
        <w:t>）依托、整合相关社会资源共同开展或</w:t>
      </w:r>
      <w:r>
        <w:rPr>
          <w:rFonts w:hint="eastAsia" w:ascii="仿宋" w:hAnsi="仿宋" w:eastAsia="仿宋" w:cs="仿宋"/>
          <w:color w:val="auto"/>
          <w:kern w:val="2"/>
          <w:sz w:val="32"/>
          <w:szCs w:val="32"/>
          <w:highlight w:val="none"/>
          <w:lang w:val="en-US" w:eastAsia="zh-CN"/>
        </w:rPr>
        <w:t>本行</w:t>
      </w:r>
      <w:r>
        <w:rPr>
          <w:rFonts w:hint="eastAsia" w:ascii="仿宋" w:hAnsi="仿宋" w:eastAsia="仿宋" w:cs="仿宋"/>
          <w:color w:val="auto"/>
          <w:kern w:val="2"/>
          <w:sz w:val="32"/>
          <w:szCs w:val="32"/>
          <w:highlight w:val="none"/>
        </w:rPr>
        <w:t>依靠自身力量开展的教育宣传工作，深入社区、学校、园区、企业等，通过设立宣传教育点、举办专题讲座等形式有针对性地开展教育宣传活动；</w:t>
      </w:r>
    </w:p>
    <w:p w14:paraId="36BD3722">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bCs/>
          <w:kern w:val="2"/>
          <w:sz w:val="32"/>
          <w:szCs w:val="32"/>
          <w:highlight w:val="none"/>
          <w:lang w:val="en-US" w:eastAsia="zh-CN"/>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3</w:t>
      </w:r>
      <w:r>
        <w:rPr>
          <w:rFonts w:hint="eastAsia" w:ascii="仿宋" w:hAnsi="仿宋" w:eastAsia="仿宋" w:cs="仿宋"/>
          <w:color w:val="auto"/>
          <w:kern w:val="2"/>
          <w:sz w:val="32"/>
          <w:szCs w:val="32"/>
          <w:highlight w:val="none"/>
        </w:rPr>
        <w:t>）借助各类在线电子渠道开展宣传，通过手机银行、微信银行、短信银行、微信公众号等渠道推送金融知识，扩大受众范围；</w:t>
      </w:r>
    </w:p>
    <w:p w14:paraId="0EF79466">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rPr>
      </w:pPr>
      <w:r>
        <w:rPr>
          <w:rFonts w:hint="eastAsia" w:ascii="仿宋" w:hAnsi="仿宋" w:eastAsia="仿宋" w:cs="仿宋"/>
          <w:b w:val="0"/>
          <w:bCs w:val="0"/>
          <w:color w:val="auto"/>
          <w:kern w:val="2"/>
          <w:sz w:val="32"/>
          <w:szCs w:val="32"/>
          <w:highlight w:val="none"/>
          <w:lang w:val="en-US" w:eastAsia="zh-CN"/>
        </w:rPr>
        <w:t>（4）宣传内容</w:t>
      </w:r>
    </w:p>
    <w:p w14:paraId="3E9050AB">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4.1</w:t>
      </w:r>
      <w:r>
        <w:rPr>
          <w:rFonts w:hint="eastAsia" w:ascii="仿宋" w:hAnsi="仿宋" w:eastAsia="仿宋" w:cs="仿宋"/>
          <w:color w:val="auto"/>
          <w:sz w:val="32"/>
          <w:szCs w:val="32"/>
          <w:highlight w:val="none"/>
        </w:rPr>
        <w:t>）国家金融政策及法律法规</w:t>
      </w:r>
      <w:r>
        <w:rPr>
          <w:rFonts w:hint="eastAsia" w:ascii="仿宋" w:hAnsi="仿宋" w:eastAsia="仿宋" w:cs="仿宋"/>
          <w:color w:val="auto"/>
          <w:sz w:val="32"/>
          <w:szCs w:val="32"/>
          <w:highlight w:val="none"/>
          <w:lang w:eastAsia="zh-CN"/>
        </w:rPr>
        <w:t>；</w:t>
      </w:r>
    </w:p>
    <w:p w14:paraId="7EAA8ED4">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4.2</w:t>
      </w:r>
      <w:r>
        <w:rPr>
          <w:rFonts w:hint="eastAsia" w:ascii="仿宋" w:hAnsi="仿宋" w:eastAsia="仿宋" w:cs="仿宋"/>
          <w:color w:val="auto"/>
          <w:sz w:val="32"/>
          <w:szCs w:val="32"/>
          <w:highlight w:val="none"/>
        </w:rPr>
        <w:t>）消费者权益保护法律法规，金融纠纷调解的渠道、方法和流程</w:t>
      </w:r>
      <w:r>
        <w:rPr>
          <w:rFonts w:hint="eastAsia" w:ascii="仿宋" w:hAnsi="仿宋" w:eastAsia="仿宋" w:cs="仿宋"/>
          <w:color w:val="auto"/>
          <w:sz w:val="32"/>
          <w:szCs w:val="32"/>
          <w:highlight w:val="none"/>
          <w:lang w:eastAsia="zh-CN"/>
        </w:rPr>
        <w:t>；</w:t>
      </w:r>
    </w:p>
    <w:p w14:paraId="6FAE76EE">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4.3</w:t>
      </w:r>
      <w:r>
        <w:rPr>
          <w:rFonts w:hint="eastAsia" w:ascii="仿宋" w:hAnsi="仿宋" w:eastAsia="仿宋" w:cs="仿宋"/>
          <w:color w:val="auto"/>
          <w:sz w:val="32"/>
          <w:szCs w:val="32"/>
          <w:highlight w:val="none"/>
        </w:rPr>
        <w:t>）基础金融知识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开展普惠金融课堂，为社区居民讲解金融知识，并通过以案说法揭露犯罪分子惯用伎俩，揭示电信诈骗犯罪的欺骗性、风险性、危害性。同时，普及正确的防范知识，引导公众树立正确的防诈骗意识，警惕诈骗陷阱，积极支持和参与打击电信诈骗行动，确保自身资金财产安全。</w:t>
      </w:r>
    </w:p>
    <w:p w14:paraId="03229B32">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4.4</w:t>
      </w:r>
      <w:r>
        <w:rPr>
          <w:rFonts w:hint="eastAsia" w:ascii="仿宋" w:hAnsi="仿宋" w:eastAsia="仿宋" w:cs="仿宋"/>
          <w:color w:val="auto"/>
          <w:sz w:val="32"/>
          <w:szCs w:val="32"/>
          <w:highlight w:val="none"/>
        </w:rPr>
        <w:t>）介绍常见或新型金融及电信诈骗、非法集资手段、特点及危害,提高社会公众风险防范意识;</w:t>
      </w:r>
    </w:p>
    <w:p w14:paraId="67EA67B9">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4.5</w:t>
      </w:r>
      <w:r>
        <w:rPr>
          <w:rFonts w:hint="eastAsia" w:ascii="仿宋" w:hAnsi="仿宋" w:eastAsia="仿宋" w:cs="仿宋"/>
          <w:color w:val="auto"/>
          <w:sz w:val="32"/>
          <w:szCs w:val="32"/>
          <w:highlight w:val="none"/>
        </w:rPr>
        <w:t xml:space="preserve">）银行卡、电子银行等支付安全与使用注意事项; </w:t>
      </w:r>
    </w:p>
    <w:p w14:paraId="0CFC91B7">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4.6</w:t>
      </w:r>
      <w:r>
        <w:rPr>
          <w:rFonts w:hint="eastAsia" w:ascii="仿宋" w:hAnsi="仿宋" w:eastAsia="仿宋" w:cs="仿宋"/>
          <w:color w:val="auto"/>
          <w:sz w:val="32"/>
          <w:szCs w:val="32"/>
          <w:highlight w:val="none"/>
        </w:rPr>
        <w:t>）反假币;</w:t>
      </w:r>
    </w:p>
    <w:p w14:paraId="41E2468B">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4.7</w:t>
      </w:r>
      <w:r>
        <w:rPr>
          <w:rFonts w:hint="eastAsia" w:ascii="仿宋" w:hAnsi="仿宋" w:eastAsia="仿宋" w:cs="仿宋"/>
          <w:color w:val="auto"/>
          <w:sz w:val="32"/>
          <w:szCs w:val="32"/>
          <w:highlight w:val="none"/>
        </w:rPr>
        <w:t>）反洗钱;</w:t>
      </w:r>
    </w:p>
    <w:p w14:paraId="103620E5">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4.8</w:t>
      </w:r>
      <w:r>
        <w:rPr>
          <w:rFonts w:hint="eastAsia" w:ascii="仿宋" w:hAnsi="仿宋" w:eastAsia="仿宋" w:cs="仿宋"/>
          <w:color w:val="auto"/>
          <w:sz w:val="32"/>
          <w:szCs w:val="32"/>
          <w:highlight w:val="none"/>
        </w:rPr>
        <w:t>）个人征信及个人信息保护宣传;</w:t>
      </w:r>
    </w:p>
    <w:p w14:paraId="365CF390">
      <w:pPr>
        <w:keepNext w:val="0"/>
        <w:keepLines w:val="0"/>
        <w:pageBreakBefore w:val="0"/>
        <w:widowControl/>
        <w:numPr>
          <w:ilvl w:val="0"/>
          <w:numId w:val="0"/>
        </w:numPr>
        <w:kinsoku/>
        <w:wordWrap/>
        <w:overflowPunct/>
        <w:topLinePunct w:val="0"/>
        <w:autoSpaceDE/>
        <w:autoSpaceDN/>
        <w:bidi w:val="0"/>
        <w:snapToGrid/>
        <w:spacing w:line="600" w:lineRule="exact"/>
        <w:ind w:leftChars="0"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4.9</w:t>
      </w:r>
      <w:r>
        <w:rPr>
          <w:rFonts w:hint="eastAsia" w:ascii="仿宋" w:hAnsi="仿宋" w:eastAsia="仿宋" w:cs="仿宋"/>
          <w:color w:val="auto"/>
          <w:sz w:val="32"/>
          <w:szCs w:val="32"/>
          <w:highlight w:val="none"/>
        </w:rPr>
        <w:t>）其他金融知识教育宣传相关内容。</w:t>
      </w:r>
    </w:p>
    <w:p w14:paraId="01FDCFB1">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（5）具体宣传情况</w:t>
      </w:r>
    </w:p>
    <w:p w14:paraId="7C5F0D48">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val="0"/>
          <w:bCs w:val="0"/>
          <w:sz w:val="32"/>
          <w:szCs w:val="32"/>
          <w:highlight w:val="none"/>
          <w:lang w:val="en-US" w:eastAsia="zh-CN"/>
        </w:rPr>
        <w:t>本行积极履行社会防范责任，营造安全稳定的金融秩序，密切警银协作机制，切实保护客户资金，保障消费者金融安全。本行于2024年组织全行开展“安全生产月”“防范非法集资宣传月”“金融知识万里行”“普惠金融知识，守住‘钱袋子’”等一系列集中宣传活动。具体措施包括：印发“防范非法集资、反假币、反电诈”等主题宣传手册，统一摆放在营业网点显要位置，并组织客户关注“桂阳沪农商村镇银行”微信公众号；悬挂警示标语、张贴防范提示等方式，对每一笔转账业务做到“四问一告知”，尤其是财务人员、老年客户等电信诈骗针对的重点人员开展防范电信知识宣传。</w:t>
      </w:r>
    </w:p>
    <w:p w14:paraId="34A07E2C">
      <w:pPr>
        <w:keepNext w:val="0"/>
        <w:keepLines w:val="0"/>
        <w:pageBreakBefore w:val="0"/>
        <w:numPr>
          <w:ilvl w:val="0"/>
          <w:numId w:val="0"/>
        </w:numPr>
        <w:kinsoku/>
        <w:wordWrap/>
        <w:overflowPunct/>
        <w:topLinePunct w:val="0"/>
        <w:autoSpaceDE/>
        <w:autoSpaceDN/>
        <w:bidi w:val="0"/>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2.全力维护消费者权益保护</w:t>
      </w:r>
    </w:p>
    <w:p w14:paraId="5BDB2BAF">
      <w:pPr>
        <w:pStyle w:val="7"/>
        <w:keepNext w:val="0"/>
        <w:keepLines w:val="0"/>
        <w:pageBreakBefore w:val="0"/>
        <w:numPr>
          <w:ilvl w:val="0"/>
          <w:numId w:val="0"/>
        </w:numPr>
        <w:kinsoku/>
        <w:wordWrap/>
        <w:overflowPunct/>
        <w:topLinePunct w:val="0"/>
        <w:autoSpaceDE/>
        <w:autoSpaceDN/>
        <w:bidi w:val="0"/>
        <w:snapToGrid/>
        <w:spacing w:line="600" w:lineRule="exact"/>
        <w:ind w:firstLine="643" w:firstLineChars="200"/>
        <w:textAlignment w:val="auto"/>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（1）消费者权益保护投诉受理机制：</w:t>
      </w:r>
      <w:r>
        <w:rPr>
          <w:rFonts w:hint="eastAsia" w:ascii="仿宋" w:hAnsi="仿宋" w:eastAsia="仿宋" w:cs="仿宋"/>
          <w:b w:val="0"/>
          <w:bCs w:val="0"/>
          <w:kern w:val="2"/>
          <w:sz w:val="32"/>
          <w:szCs w:val="32"/>
          <w:highlight w:val="none"/>
          <w:lang w:val="en-US" w:eastAsia="zh-CN" w:bidi="ar-SA"/>
        </w:rPr>
        <w:t>本行受理投诉的</w:t>
      </w:r>
      <w:r>
        <w:rPr>
          <w:rFonts w:hint="eastAsia" w:ascii="仿宋" w:hAnsi="仿宋" w:eastAsia="仿宋" w:cs="仿宋"/>
          <w:sz w:val="32"/>
          <w:szCs w:val="32"/>
          <w:highlight w:val="none"/>
        </w:rPr>
        <w:t>消费者投诉处理工作纳入</w:t>
      </w:r>
      <w:r>
        <w:rPr>
          <w:rFonts w:hint="eastAsia" w:ascii="仿宋" w:hAnsi="仿宋" w:eastAsia="仿宋" w:cs="仿宋"/>
          <w:sz w:val="32"/>
          <w:szCs w:val="32"/>
          <w:highlight w:val="none"/>
          <w:lang w:eastAsia="zh-CN"/>
        </w:rPr>
        <w:t>本行</w:t>
      </w:r>
      <w:r>
        <w:rPr>
          <w:rFonts w:hint="eastAsia" w:ascii="仿宋" w:hAnsi="仿宋" w:eastAsia="仿宋" w:cs="仿宋"/>
          <w:sz w:val="32"/>
          <w:szCs w:val="32"/>
          <w:highlight w:val="none"/>
        </w:rPr>
        <w:t>消费者权益保护工作委员会（以下简称“消保委”）统一归口管理</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营业部负责指导营业网点做好现场投诉处理，规范现场投诉处理流程</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市场部和营业部负责在处理有关零售金融业务以及服务项目收费的消费者投诉事项中提供相关政策文件精神、要点的解读与答疑。</w:t>
      </w:r>
    </w:p>
    <w:p w14:paraId="0EC0D48B">
      <w:pPr>
        <w:keepNext w:val="0"/>
        <w:keepLines w:val="0"/>
        <w:pageBreakBefore w:val="0"/>
        <w:kinsoku/>
        <w:wordWrap/>
        <w:overflowPunct/>
        <w:topLinePunct w:val="0"/>
        <w:autoSpaceDE/>
        <w:autoSpaceDN/>
        <w:bidi w:val="0"/>
        <w:snapToGrid/>
        <w:spacing w:line="600" w:lineRule="exact"/>
        <w:ind w:right="0" w:rightChars="0" w:firstLine="643" w:firstLineChars="200"/>
        <w:textAlignment w:val="auto"/>
        <w:outlineLvl w:val="9"/>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（2）消费者权益保护投诉受理流程：</w:t>
      </w:r>
    </w:p>
    <w:p w14:paraId="6B066A1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2.1</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受理投诉</w:t>
      </w:r>
    </w:p>
    <w:p w14:paraId="5922E8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消保委办公室和客服中心分别承担消费者投诉受理职责。消保委办公室受理消费者通过书信、电子邮件、电话、传真和走访的投诉事项，以及上级主（监）管部门和新闻媒体转（交）办至本行的投诉事项。客服中心负责受理消费者通过客服热线、客服邮箱和在线客服提出的投诉事项。</w:t>
      </w:r>
    </w:p>
    <w:p w14:paraId="3509912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right="0" w:rightChars="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2.2</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转办投诉</w:t>
      </w:r>
    </w:p>
    <w:p w14:paraId="6B05434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消保委办公室受理的消费者投诉按照信访投诉处理流程转办本行相关部门或支行。客服中心受理的消费者投诉按照相关处理流程转办本行相关部门。</w:t>
      </w:r>
    </w:p>
    <w:p w14:paraId="590639F6">
      <w:pPr>
        <w:pStyle w:val="11"/>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2.3</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查证投诉</w:t>
      </w:r>
    </w:p>
    <w:p w14:paraId="2D3DD393">
      <w:pPr>
        <w:pStyle w:val="11"/>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right="0" w:righ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本行相关部门或支行在收到转办的消费者投诉后，立即组织开展投诉调查，做好投诉事项的查证工作。</w:t>
      </w:r>
    </w:p>
    <w:p w14:paraId="4AF31B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right="0" w:rightChars="0"/>
        <w:jc w:val="both"/>
        <w:textAlignment w:val="auto"/>
        <w:outlineLvl w:val="9"/>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（2.4）回复投诉及反馈处理结果</w:t>
      </w:r>
    </w:p>
    <w:p w14:paraId="58F5D47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本行相关部门或支行在投诉事项查证认定后</w:t>
      </w:r>
      <w:r>
        <w:rPr>
          <w:rFonts w:hint="eastAsia" w:ascii="仿宋" w:hAnsi="仿宋" w:eastAsia="仿宋" w:cs="仿宋"/>
          <w:sz w:val="32"/>
          <w:szCs w:val="32"/>
          <w:highlight w:val="none"/>
          <w:lang w:val="zh-CN"/>
        </w:rPr>
        <w:t>拟定答复内容，经投诉管理部门审核，消保委办公室依情形对涉及的法律文本进行法律合规审核后</w:t>
      </w:r>
      <w:r>
        <w:rPr>
          <w:rFonts w:hint="eastAsia" w:ascii="仿宋" w:hAnsi="仿宋" w:eastAsia="仿宋" w:cs="仿宋"/>
          <w:sz w:val="32"/>
          <w:szCs w:val="32"/>
          <w:highlight w:val="none"/>
        </w:rPr>
        <w:t>回复消费者，并与其就处理方案达成一致意见，同时需将投诉处理结果反馈至相应受理部门。对于上级主（监）管部门转（交）办或通过媒体发起的投诉事项，消保委办公室在收到处理结果书面反馈后，及时回复上级主（监）管部门或媒体。</w:t>
      </w:r>
    </w:p>
    <w:p w14:paraId="1AC4E2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2.5</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投诉责任认定</w:t>
      </w:r>
    </w:p>
    <w:p w14:paraId="1576CA2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投诉处理办结后，主办部门应对投诉事项进行责任认定。若认定为有责的，主办部门应依据标准对有责人员进行相应处罚。若认定为无责的，主办部门应根据投诉内容报本行业务主管部门审定。对于跨部门的投诉事项，主办部门对本行业务主管部门的审定结果有争议的应报本行消保委审议后明确最终责任认定结论。</w:t>
      </w:r>
    </w:p>
    <w:p w14:paraId="0C09FE9F">
      <w:pPr>
        <w:pStyle w:val="11"/>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right="0" w:rightChars="0" w:firstLine="641" w:firstLineChars="0"/>
        <w:jc w:val="both"/>
        <w:textAlignment w:val="auto"/>
        <w:outlineLvl w:val="9"/>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本行消保委投诉电话：0735-2491855</w:t>
      </w:r>
    </w:p>
    <w:p w14:paraId="78F4F7A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客户热线：4009962999</w:t>
      </w:r>
    </w:p>
    <w:p w14:paraId="6254456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3.</w:t>
      </w:r>
      <w:r>
        <w:rPr>
          <w:rFonts w:hint="eastAsia" w:ascii="仿宋" w:hAnsi="仿宋" w:eastAsia="仿宋" w:cs="仿宋"/>
          <w:b/>
          <w:bCs/>
          <w:kern w:val="2"/>
          <w:sz w:val="32"/>
          <w:szCs w:val="32"/>
          <w:highlight w:val="none"/>
          <w:lang w:val="en-US" w:eastAsia="zh-CN" w:bidi="ar-SA"/>
        </w:rPr>
        <w:t>2024年内无客户重大投诉事件信息</w:t>
      </w:r>
    </w:p>
    <w:p w14:paraId="73CB7E2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4.按投诉渠道分类：本行共受理消费投诉12件，其中客服中心转办投诉1件，监管转办投诉11件。按业务类别分类：2024年本行受理贷款类10起，结算业务类2起，其他0起。本行已加强全行员工的服务意识培训，从思想上强调维护金融消费者利益的重要性，并完善奖罚机制，做到奖罚分明。</w:t>
      </w:r>
    </w:p>
    <w:p w14:paraId="6CD7A31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三、爱心公益责任</w:t>
      </w:r>
    </w:p>
    <w:p w14:paraId="5C4366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 w:val="0"/>
          <w:color w:val="252525"/>
          <w:kern w:val="2"/>
          <w:sz w:val="32"/>
          <w:szCs w:val="32"/>
          <w:highlight w:val="none"/>
          <w:lang w:val="en-US" w:eastAsia="zh-CN" w:bidi="ar"/>
        </w:rPr>
      </w:pPr>
      <w:r>
        <w:rPr>
          <w:rFonts w:hint="eastAsia" w:ascii="仿宋" w:hAnsi="仿宋" w:eastAsia="仿宋" w:cs="仿宋"/>
          <w:b w:val="0"/>
          <w:color w:val="252525"/>
          <w:kern w:val="2"/>
          <w:sz w:val="32"/>
          <w:szCs w:val="32"/>
          <w:highlight w:val="none"/>
          <w:lang w:val="en-US" w:eastAsia="zh-CN" w:bidi="ar"/>
        </w:rPr>
        <w:t>本行始终热心社会公益。从依托主发起行到本行自发，从周边社区到偏远村居，从基础设施到文化教育，本行致力于开展志愿者服务、慈善捐赠、对口帮扶等公益活动，为社会公众谋求切身利益。</w:t>
      </w:r>
    </w:p>
    <w:p w14:paraId="4928F613">
      <w:pPr>
        <w:keepNext w:val="0"/>
        <w:keepLines w:val="0"/>
        <w:pageBreakBefore w:val="0"/>
        <w:widowControl w:val="0"/>
        <w:shd w:val="clear" w:fill="FFFFFF" w:themeFill="background1"/>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四、环境责任</w:t>
      </w:r>
    </w:p>
    <w:p w14:paraId="6B1FC8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一、年度概况</w:t>
      </w:r>
    </w:p>
    <w:p w14:paraId="6AAEF86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（一）整体概况</w:t>
      </w:r>
    </w:p>
    <w:p w14:paraId="61A9DED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0" w:firstLineChars="300"/>
        <w:jc w:val="both"/>
        <w:textAlignment w:val="auto"/>
        <w:rPr>
          <w:rFonts w:hint="eastAsia" w:ascii="仿宋" w:hAnsi="仿宋" w:eastAsia="仿宋" w:cs="仿宋"/>
          <w:sz w:val="32"/>
          <w:szCs w:val="32"/>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66675</wp:posOffset>
            </wp:positionV>
            <wp:extent cx="3230245" cy="2593975"/>
            <wp:effectExtent l="0" t="0" r="8255" b="9525"/>
            <wp:wrapSquare wrapText="bothSides"/>
            <wp:docPr id="9" name="图片 9" descr="微信图片_2023111315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1131543101"/>
                    <pic:cNvPicPr>
                      <a:picLocks noChangeAspect="1"/>
                    </pic:cNvPicPr>
                  </pic:nvPicPr>
                  <pic:blipFill>
                    <a:blip r:embed="rId9"/>
                    <a:srcRect b="2645"/>
                    <a:stretch>
                      <a:fillRect/>
                    </a:stretch>
                  </pic:blipFill>
                  <pic:spPr>
                    <a:xfrm>
                      <a:off x="0" y="0"/>
                      <a:ext cx="3230245" cy="2593975"/>
                    </a:xfrm>
                    <a:prstGeom prst="rect">
                      <a:avLst/>
                    </a:prstGeom>
                  </pic:spPr>
                </pic:pic>
              </a:graphicData>
            </a:graphic>
          </wp:anchor>
        </w:drawing>
      </w:r>
      <w:r>
        <w:rPr>
          <w:rFonts w:hint="eastAsia" w:ascii="仿宋" w:hAnsi="仿宋" w:eastAsia="仿宋" w:cs="仿宋"/>
          <w:sz w:val="32"/>
          <w:szCs w:val="32"/>
          <w:highlight w:val="none"/>
          <w:lang w:val="en-US" w:eastAsia="zh-CN"/>
        </w:rPr>
        <w:t>桂阳沪农商村镇银行成立于2012年7月，它是由上海农商银行控股的“小而美、小而优”的银行，注册资本5,000万元，全行员工57人，内设职能部门7个，下辖营业部、鹿峰支行、正和支行、龙潭支行四家经营机构，坚持“扎根县域、支农支小、灵活创新、高效便捷”的经营特点，因地制宜制定信贷政策、创新金融产品，为广大农民、社区居民、中小企业和个体工商户提供存款、贷款、结算等多种金融服务，满足城乡经济主体多元化的金融服务需求。</w:t>
      </w:r>
    </w:p>
    <w:p w14:paraId="50DC3FD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开业12年，始终坚持支农支小的市场定位，在促进中小微企业发展以及全县精准脱贫中做出了一定的贡献。先后荣获“全国百强村镇银行”“明星村镇银行”“慈善企业”“信息宣传先进集体”“爱心助学 大爱无疆”等荣誉奖牌。截至2024年年末，本行各项贷款余额为113970.09万元，比年初增加-908.65万元。其中，农户贷款余额108301.52万元，小微企业贷款余额53334.58万元，农户和小微贷款合计占全部贷款比重达到95.46%。本行坚持经济效益、社会效益和生态效益的有机统一，积极推动融资结构的“绿色调整”，坚持绿色营运，推动“绿色、节能、环保”的运营理念，倡导与生态相协调的生产生活方式，持续推进自身节能减排。截至2024年末，本行绿色信贷业务48笔，金额560.55万元，积极为商户、农户提供贷款支持，为地方经济发展做出了积极贡献。</w:t>
      </w:r>
    </w:p>
    <w:p w14:paraId="34D4259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（二）战略规划及发展目标</w:t>
      </w:r>
    </w:p>
    <w:p w14:paraId="1D29D8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近年来，本行践行和倡导绿色发展理念，积极贯彻落实国家和地方政府实施低碳发展的重大决策部署，把绿色金融提升至了全行战略高度，为推进绿色业务发展注入新动力。根据监管要求和自身发展情况，本行制定了绿色环保发展整体工作目标。</w:t>
      </w:r>
    </w:p>
    <w:p w14:paraId="383A70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一是产品创新：</w:t>
      </w:r>
      <w:r>
        <w:rPr>
          <w:rFonts w:hint="eastAsia" w:ascii="仿宋" w:hAnsi="仿宋" w:eastAsia="仿宋" w:cs="仿宋"/>
          <w:b w:val="0"/>
          <w:bCs w:val="0"/>
          <w:sz w:val="32"/>
          <w:szCs w:val="32"/>
          <w:highlight w:val="none"/>
          <w:lang w:val="en-US" w:eastAsia="zh-CN"/>
        </w:rPr>
        <w:t>开发针对农村绿色项目的专属贷款产品，如“生态种植贷”，为采用绿色种植技术的农户提供低息贷款；“农村新能源贷”，支持农村地区新能源设施建设和运营。简化贷款审批流程，根据绿色项目特点，制定专门的审批标准和额度测算模型。</w:t>
      </w:r>
    </w:p>
    <w:p w14:paraId="7696FE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二是业务拓展：</w:t>
      </w:r>
      <w:r>
        <w:rPr>
          <w:rFonts w:hint="eastAsia" w:ascii="仿宋" w:hAnsi="仿宋" w:eastAsia="仿宋" w:cs="仿宋"/>
          <w:b w:val="0"/>
          <w:bCs w:val="0"/>
          <w:sz w:val="32"/>
          <w:szCs w:val="32"/>
          <w:highlight w:val="none"/>
          <w:lang w:val="en-US" w:eastAsia="zh-CN"/>
        </w:rPr>
        <w:t>加强与当地环保企业、农业合作社、绿色科技企业合作，主动挖掘绿色贷款项目。与政府部门合作，参与农村生态环境治理、绿色基础设施建设等项目融资。</w:t>
      </w:r>
    </w:p>
    <w:p w14:paraId="36EAF7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三是风险管理：</w:t>
      </w:r>
      <w:r>
        <w:rPr>
          <w:rFonts w:hint="eastAsia" w:ascii="仿宋" w:hAnsi="仿宋" w:eastAsia="仿宋" w:cs="仿宋"/>
          <w:b w:val="0"/>
          <w:bCs w:val="0"/>
          <w:sz w:val="32"/>
          <w:szCs w:val="32"/>
          <w:highlight w:val="none"/>
          <w:lang w:val="en-US" w:eastAsia="zh-CN"/>
        </w:rPr>
        <w:t>建立绿色贷款风险评估体系，充分考虑环境风险因素，对贷款项目环境影响进行量化评估。加强贷后管理，定期对绿色贷款项目环境效益和经济效益进行跟踪监测，确保贷款资金安全和项目可持续性。</w:t>
      </w:r>
    </w:p>
    <w:p w14:paraId="2CE65C1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（三）环境关键绩效表</w:t>
      </w:r>
    </w:p>
    <w:tbl>
      <w:tblPr>
        <w:tblStyle w:val="12"/>
        <w:tblW w:w="7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2370"/>
        <w:gridCol w:w="1935"/>
        <w:gridCol w:w="1965"/>
      </w:tblGrid>
      <w:tr w14:paraId="19036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tcPr>
          <w:p w14:paraId="0EFE04E6">
            <w:pPr>
              <w:pStyle w:val="16"/>
              <w:keepNext w:val="0"/>
              <w:keepLines w:val="0"/>
              <w:pageBreakBefore w:val="0"/>
              <w:kinsoku/>
              <w:wordWrap/>
              <w:overflowPunct/>
              <w:topLinePunct w:val="0"/>
              <w:autoSpaceDE/>
              <w:autoSpaceDN/>
              <w:bidi w:val="0"/>
              <w:adjustRightInd/>
              <w:snapToGrid/>
              <w:spacing w:before="34" w:line="540" w:lineRule="atLeast"/>
              <w:ind w:left="327" w:right="319"/>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类别</w:t>
            </w:r>
          </w:p>
        </w:tc>
        <w:tc>
          <w:tcPr>
            <w:tcW w:w="2370" w:type="dxa"/>
          </w:tcPr>
          <w:p w14:paraId="4E193BF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环境指标</w:t>
            </w:r>
          </w:p>
        </w:tc>
        <w:tc>
          <w:tcPr>
            <w:tcW w:w="1935" w:type="dxa"/>
          </w:tcPr>
          <w:p w14:paraId="1D219EC2">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1965" w:type="dxa"/>
          </w:tcPr>
          <w:p w14:paraId="78D1972E">
            <w:pPr>
              <w:pStyle w:val="16"/>
              <w:keepNext w:val="0"/>
              <w:keepLines w:val="0"/>
              <w:pageBreakBefore w:val="0"/>
              <w:kinsoku/>
              <w:wordWrap/>
              <w:overflowPunct/>
              <w:topLinePunct w:val="0"/>
              <w:autoSpaceDE/>
              <w:autoSpaceDN/>
              <w:bidi w:val="0"/>
              <w:adjustRightInd/>
              <w:snapToGrid/>
              <w:spacing w:before="34" w:line="540" w:lineRule="atLeast"/>
              <w:ind w:left="327" w:right="318"/>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4</w:t>
            </w:r>
            <w:r>
              <w:rPr>
                <w:rFonts w:hint="eastAsia" w:ascii="仿宋" w:hAnsi="仿宋" w:eastAsia="仿宋" w:cs="仿宋"/>
                <w:b/>
                <w:sz w:val="24"/>
                <w:szCs w:val="24"/>
                <w:highlight w:val="none"/>
              </w:rPr>
              <w:t>年度</w:t>
            </w:r>
          </w:p>
        </w:tc>
      </w:tr>
      <w:tr w14:paraId="67A54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restart"/>
          </w:tcPr>
          <w:p w14:paraId="3852CACF">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6EE4DDC2">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绿色金融服务</w:t>
            </w:r>
          </w:p>
        </w:tc>
        <w:tc>
          <w:tcPr>
            <w:tcW w:w="2370" w:type="dxa"/>
          </w:tcPr>
          <w:p w14:paraId="15E505AC">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绿色贷款余额</w:t>
            </w:r>
          </w:p>
        </w:tc>
        <w:tc>
          <w:tcPr>
            <w:tcW w:w="1935" w:type="dxa"/>
          </w:tcPr>
          <w:p w14:paraId="49226FB1">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vAlign w:val="top"/>
          </w:tcPr>
          <w:p w14:paraId="6E334867">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560.55</w:t>
            </w:r>
          </w:p>
        </w:tc>
      </w:tr>
      <w:tr w14:paraId="5B531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44BAC9CD">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6A55D205">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各项贷款余额</w:t>
            </w:r>
          </w:p>
        </w:tc>
        <w:tc>
          <w:tcPr>
            <w:tcW w:w="1935" w:type="dxa"/>
          </w:tcPr>
          <w:p w14:paraId="131E4CC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vAlign w:val="top"/>
          </w:tcPr>
          <w:p w14:paraId="62E6B755">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113970.09</w:t>
            </w:r>
          </w:p>
        </w:tc>
      </w:tr>
      <w:tr w14:paraId="0DEA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2F730752">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7EC3245D">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绿色贷款占比</w:t>
            </w:r>
          </w:p>
        </w:tc>
        <w:tc>
          <w:tcPr>
            <w:tcW w:w="1935" w:type="dxa"/>
          </w:tcPr>
          <w:p w14:paraId="4F84BF75">
            <w:pPr>
              <w:pStyle w:val="16"/>
              <w:keepNext w:val="0"/>
              <w:keepLines w:val="0"/>
              <w:pageBreakBefore w:val="0"/>
              <w:kinsoku/>
              <w:wordWrap/>
              <w:overflowPunct/>
              <w:topLinePunct w:val="0"/>
              <w:autoSpaceDE/>
              <w:autoSpaceDN/>
              <w:bidi w:val="0"/>
              <w:adjustRightInd/>
              <w:snapToGrid/>
              <w:spacing w:before="47" w:line="540" w:lineRule="atLeast"/>
              <w:ind w:left="9"/>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w:t>
            </w:r>
          </w:p>
        </w:tc>
        <w:tc>
          <w:tcPr>
            <w:tcW w:w="1965" w:type="dxa"/>
            <w:vAlign w:val="top"/>
          </w:tcPr>
          <w:p w14:paraId="6F9A37CF">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0.5</w:t>
            </w:r>
          </w:p>
        </w:tc>
      </w:tr>
      <w:tr w14:paraId="27FD7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19" w:type="dxa"/>
            <w:vMerge w:val="restart"/>
          </w:tcPr>
          <w:p w14:paraId="282DC057">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04E555CE">
            <w:pPr>
              <w:pStyle w:val="16"/>
              <w:keepNext w:val="0"/>
              <w:keepLines w:val="0"/>
              <w:pageBreakBefore w:val="0"/>
              <w:kinsoku/>
              <w:wordWrap/>
              <w:overflowPunct/>
              <w:topLinePunct w:val="0"/>
              <w:autoSpaceDE/>
              <w:autoSpaceDN/>
              <w:bidi w:val="0"/>
              <w:adjustRightInd/>
              <w:snapToGrid/>
              <w:spacing w:before="154"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绿色办公运营</w:t>
            </w:r>
          </w:p>
        </w:tc>
        <w:tc>
          <w:tcPr>
            <w:tcW w:w="2370" w:type="dxa"/>
          </w:tcPr>
          <w:p w14:paraId="15D306B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办公运营用水量</w:t>
            </w:r>
          </w:p>
        </w:tc>
        <w:tc>
          <w:tcPr>
            <w:tcW w:w="1935" w:type="dxa"/>
          </w:tcPr>
          <w:p w14:paraId="42179FC6">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吨</w:t>
            </w:r>
          </w:p>
        </w:tc>
        <w:tc>
          <w:tcPr>
            <w:tcW w:w="1965" w:type="dxa"/>
            <w:vAlign w:val="top"/>
          </w:tcPr>
          <w:p w14:paraId="00140CB1">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985</w:t>
            </w:r>
          </w:p>
        </w:tc>
      </w:tr>
      <w:tr w14:paraId="28C0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719" w:type="dxa"/>
            <w:vMerge w:val="continue"/>
            <w:tcBorders>
              <w:top w:val="nil"/>
            </w:tcBorders>
          </w:tcPr>
          <w:p w14:paraId="6ED91F71">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0D63E83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办公运营用电量</w:t>
            </w:r>
          </w:p>
        </w:tc>
        <w:tc>
          <w:tcPr>
            <w:tcW w:w="1935" w:type="dxa"/>
          </w:tcPr>
          <w:p w14:paraId="686D2027">
            <w:pPr>
              <w:pStyle w:val="16"/>
              <w:keepNext w:val="0"/>
              <w:keepLines w:val="0"/>
              <w:pageBreakBefore w:val="0"/>
              <w:kinsoku/>
              <w:wordWrap/>
              <w:overflowPunct/>
              <w:topLinePunct w:val="0"/>
              <w:autoSpaceDE/>
              <w:autoSpaceDN/>
              <w:bidi w:val="0"/>
              <w:adjustRightInd/>
              <w:snapToGrid/>
              <w:spacing w:before="34" w:line="540" w:lineRule="atLeast"/>
              <w:ind w:left="327" w:right="317"/>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千瓦/时</w:t>
            </w:r>
          </w:p>
        </w:tc>
        <w:tc>
          <w:tcPr>
            <w:tcW w:w="1965" w:type="dxa"/>
            <w:vAlign w:val="top"/>
          </w:tcPr>
          <w:p w14:paraId="5B2DAF08">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259520</w:t>
            </w:r>
          </w:p>
        </w:tc>
      </w:tr>
      <w:tr w14:paraId="6C6C2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1719" w:type="dxa"/>
            <w:vMerge w:val="continue"/>
            <w:tcBorders>
              <w:top w:val="nil"/>
            </w:tcBorders>
          </w:tcPr>
          <w:p w14:paraId="4DEC97F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0C52ECE">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办公运营用气量</w:t>
            </w:r>
          </w:p>
        </w:tc>
        <w:tc>
          <w:tcPr>
            <w:tcW w:w="1935" w:type="dxa"/>
          </w:tcPr>
          <w:p w14:paraId="0E861B7A">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立方</w:t>
            </w:r>
          </w:p>
        </w:tc>
        <w:tc>
          <w:tcPr>
            <w:tcW w:w="1965" w:type="dxa"/>
            <w:vAlign w:val="top"/>
          </w:tcPr>
          <w:p w14:paraId="676411DC">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675.67</w:t>
            </w:r>
          </w:p>
        </w:tc>
      </w:tr>
      <w:tr w14:paraId="18C7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719" w:type="dxa"/>
            <w:vMerge w:val="continue"/>
            <w:tcBorders>
              <w:top w:val="nil"/>
            </w:tcBorders>
          </w:tcPr>
          <w:p w14:paraId="00B3AAB9">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76F3A63">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办公运营用油量</w:t>
            </w:r>
          </w:p>
        </w:tc>
        <w:tc>
          <w:tcPr>
            <w:tcW w:w="1935" w:type="dxa"/>
          </w:tcPr>
          <w:p w14:paraId="6FEF8522">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升</w:t>
            </w:r>
          </w:p>
        </w:tc>
        <w:tc>
          <w:tcPr>
            <w:tcW w:w="1965" w:type="dxa"/>
          </w:tcPr>
          <w:p w14:paraId="5D475D03">
            <w:pPr>
              <w:pStyle w:val="16"/>
              <w:keepNext w:val="0"/>
              <w:keepLines w:val="0"/>
              <w:pageBreakBefore w:val="0"/>
              <w:kinsoku/>
              <w:wordWrap/>
              <w:overflowPunct/>
              <w:topLinePunct w:val="0"/>
              <w:autoSpaceDE/>
              <w:autoSpaceDN/>
              <w:bidi w:val="0"/>
              <w:adjustRightInd/>
              <w:snapToGrid/>
              <w:spacing w:before="47" w:line="540" w:lineRule="atLeast"/>
              <w:ind w:left="327" w:right="316"/>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2835</w:t>
            </w:r>
          </w:p>
        </w:tc>
      </w:tr>
      <w:tr w14:paraId="28D3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19" w:type="dxa"/>
            <w:vMerge w:val="continue"/>
            <w:tcBorders>
              <w:top w:val="nil"/>
            </w:tcBorders>
          </w:tcPr>
          <w:p w14:paraId="56333C6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30589684">
            <w:pPr>
              <w:pStyle w:val="16"/>
              <w:keepNext w:val="0"/>
              <w:keepLines w:val="0"/>
              <w:pageBreakBefore w:val="0"/>
              <w:kinsoku/>
              <w:wordWrap/>
              <w:overflowPunct/>
              <w:topLinePunct w:val="0"/>
              <w:autoSpaceDE/>
              <w:autoSpaceDN/>
              <w:bidi w:val="0"/>
              <w:adjustRightInd/>
              <w:snapToGrid/>
              <w:spacing w:before="39"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办公运营用纸量</w:t>
            </w:r>
          </w:p>
        </w:tc>
        <w:tc>
          <w:tcPr>
            <w:tcW w:w="1935" w:type="dxa"/>
          </w:tcPr>
          <w:p w14:paraId="0D5DCE5C">
            <w:pPr>
              <w:pStyle w:val="16"/>
              <w:keepNext w:val="0"/>
              <w:keepLines w:val="0"/>
              <w:pageBreakBefore w:val="0"/>
              <w:kinsoku/>
              <w:wordWrap/>
              <w:overflowPunct/>
              <w:topLinePunct w:val="0"/>
              <w:autoSpaceDE/>
              <w:autoSpaceDN/>
              <w:bidi w:val="0"/>
              <w:adjustRightInd/>
              <w:snapToGrid/>
              <w:spacing w:before="39" w:line="540" w:lineRule="atLeast"/>
              <w:ind w:left="7"/>
              <w:textAlignment w:val="auto"/>
              <w:rPr>
                <w:rFonts w:hint="eastAsia" w:ascii="仿宋" w:hAnsi="仿宋" w:eastAsia="仿宋" w:cs="仿宋"/>
                <w:sz w:val="24"/>
                <w:szCs w:val="24"/>
                <w:highlight w:val="none"/>
                <w:lang w:eastAsia="zh-CN"/>
              </w:rPr>
            </w:pPr>
            <w:r>
              <w:rPr>
                <w:rFonts w:hint="eastAsia" w:ascii="仿宋" w:hAnsi="仿宋" w:eastAsia="仿宋" w:cs="仿宋"/>
                <w:w w:val="100"/>
                <w:sz w:val="24"/>
                <w:szCs w:val="24"/>
                <w:highlight w:val="none"/>
                <w:lang w:val="en-US" w:eastAsia="zh-CN"/>
              </w:rPr>
              <w:t>箱</w:t>
            </w:r>
          </w:p>
        </w:tc>
        <w:tc>
          <w:tcPr>
            <w:tcW w:w="1965" w:type="dxa"/>
          </w:tcPr>
          <w:p w14:paraId="7EFC447A">
            <w:pPr>
              <w:pStyle w:val="16"/>
              <w:keepNext w:val="0"/>
              <w:keepLines w:val="0"/>
              <w:pageBreakBefore w:val="0"/>
              <w:kinsoku/>
              <w:wordWrap/>
              <w:overflowPunct/>
              <w:topLinePunct w:val="0"/>
              <w:autoSpaceDE/>
              <w:autoSpaceDN/>
              <w:bidi w:val="0"/>
              <w:adjustRightInd/>
              <w:snapToGrid/>
              <w:spacing w:before="52" w:line="540" w:lineRule="atLeast"/>
              <w:ind w:left="7"/>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145</w:t>
            </w:r>
          </w:p>
        </w:tc>
      </w:tr>
    </w:tbl>
    <w:p w14:paraId="0D22D89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rPr>
        <w:t>环境相关治理结构</w:t>
      </w:r>
    </w:p>
    <w:p w14:paraId="26D29BA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为大力发展绿色金融，根据中国人民银行</w:t>
      </w:r>
      <w:r>
        <w:rPr>
          <w:rFonts w:hint="eastAsia" w:ascii="仿宋" w:hAnsi="仿宋" w:eastAsia="仿宋" w:cs="仿宋"/>
          <w:b w:val="0"/>
          <w:bCs w:val="0"/>
          <w:spacing w:val="2"/>
          <w:w w:val="95"/>
          <w:sz w:val="32"/>
          <w:szCs w:val="32"/>
          <w:highlight w:val="none"/>
          <w:lang w:val="en-US" w:eastAsia="zh-CN"/>
        </w:rPr>
        <w:t>郴州市分行</w:t>
      </w:r>
      <w:r>
        <w:rPr>
          <w:rFonts w:hint="eastAsia" w:ascii="仿宋" w:hAnsi="仿宋" w:eastAsia="仿宋" w:cs="仿宋"/>
          <w:b w:val="0"/>
          <w:bCs w:val="0"/>
          <w:spacing w:val="2"/>
          <w:w w:val="95"/>
          <w:sz w:val="32"/>
          <w:szCs w:val="32"/>
          <w:highlight w:val="none"/>
        </w:rPr>
        <w:t>、</w:t>
      </w:r>
      <w:r>
        <w:rPr>
          <w:rFonts w:hint="eastAsia" w:ascii="仿宋" w:hAnsi="仿宋" w:eastAsia="仿宋" w:cs="仿宋"/>
          <w:b w:val="0"/>
          <w:bCs w:val="0"/>
          <w:spacing w:val="2"/>
          <w:w w:val="95"/>
          <w:sz w:val="32"/>
          <w:szCs w:val="32"/>
          <w:highlight w:val="none"/>
          <w:lang w:val="en-US" w:eastAsia="zh-CN"/>
        </w:rPr>
        <w:t>国家金融监督管理总局郴州监管分局等</w:t>
      </w:r>
      <w:r>
        <w:rPr>
          <w:rFonts w:hint="eastAsia" w:ascii="仿宋" w:hAnsi="仿宋" w:eastAsia="仿宋" w:cs="仿宋"/>
          <w:b w:val="0"/>
          <w:bCs w:val="0"/>
          <w:spacing w:val="-1"/>
          <w:sz w:val="32"/>
          <w:szCs w:val="32"/>
          <w:highlight w:val="none"/>
        </w:rPr>
        <w:t>有关工作要求，搭建了由董事会领导、高级管理层统筹管理、执行部门具体落实的绿色金融三级管理机制，切实管理自身在环境相关</w:t>
      </w:r>
      <w:r>
        <w:rPr>
          <w:rFonts w:hint="eastAsia" w:ascii="仿宋" w:hAnsi="仿宋" w:eastAsia="仿宋" w:cs="仿宋"/>
          <w:b w:val="0"/>
          <w:bCs w:val="0"/>
          <w:spacing w:val="-1"/>
          <w:sz w:val="32"/>
          <w:szCs w:val="32"/>
          <w:highlight w:val="none"/>
          <w:lang w:eastAsia="zh-CN"/>
        </w:rPr>
        <w:t>议案</w:t>
      </w:r>
      <w:r>
        <w:rPr>
          <w:rFonts w:hint="eastAsia" w:ascii="仿宋" w:hAnsi="仿宋" w:eastAsia="仿宋" w:cs="仿宋"/>
          <w:b w:val="0"/>
          <w:bCs w:val="0"/>
          <w:spacing w:val="-1"/>
          <w:sz w:val="32"/>
          <w:szCs w:val="32"/>
          <w:highlight w:val="none"/>
        </w:rPr>
        <w:t>上的风险与机遇，加大绿色信贷业务推动力度，将绿色金融理念贯穿到全行的日常经营中，全面推进环</w:t>
      </w:r>
      <w:r>
        <w:rPr>
          <w:rFonts w:hint="eastAsia" w:ascii="仿宋" w:hAnsi="仿宋" w:eastAsia="仿宋" w:cs="仿宋"/>
          <w:b w:val="0"/>
          <w:bCs w:val="0"/>
          <w:sz w:val="32"/>
          <w:szCs w:val="32"/>
          <w:highlight w:val="none"/>
        </w:rPr>
        <w:t>境信息披露工作。</w:t>
      </w:r>
    </w:p>
    <w:p w14:paraId="09FD3C12">
      <w:pPr>
        <w:pStyle w:val="2"/>
        <w:keepNext w:val="0"/>
        <w:keepLines w:val="0"/>
        <w:pageBreakBefore w:val="0"/>
        <w:kinsoku/>
        <w:wordWrap/>
        <w:overflowPunct/>
        <w:topLinePunct w:val="0"/>
        <w:autoSpaceDE/>
        <w:autoSpaceDN/>
        <w:bidi w:val="0"/>
        <w:adjustRightInd/>
        <w:snapToGrid/>
        <w:spacing w:before="240" w:line="540" w:lineRule="atLeast"/>
        <w:ind w:left="0" w:leftChars="0" w:firstLine="0" w:firstLineChars="0"/>
        <w:jc w:val="center"/>
        <w:textAlignment w:val="auto"/>
        <w:rPr>
          <w:rFonts w:hint="eastAsia" w:ascii="仿宋" w:hAnsi="仿宋" w:eastAsia="仿宋" w:cs="仿宋"/>
          <w:sz w:val="32"/>
          <w:szCs w:val="32"/>
          <w:highlight w:val="none"/>
          <w:lang w:val="en-US" w:eastAsia="zh-CN"/>
        </w:rPr>
      </w:pPr>
      <w:r>
        <w:rPr>
          <w:highlight w:val="none"/>
        </w:rPr>
        <w:drawing>
          <wp:inline distT="0" distB="0" distL="114300" distR="114300">
            <wp:extent cx="4656455" cy="2761615"/>
            <wp:effectExtent l="0" t="0" r="444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4656455" cy="2761615"/>
                    </a:xfrm>
                    <a:prstGeom prst="rect">
                      <a:avLst/>
                    </a:prstGeom>
                    <a:noFill/>
                    <a:ln>
                      <a:noFill/>
                    </a:ln>
                  </pic:spPr>
                </pic:pic>
              </a:graphicData>
            </a:graphic>
          </wp:inline>
        </w:drawing>
      </w:r>
    </w:p>
    <w:p w14:paraId="4FD015F5">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董事会层面</w:t>
      </w:r>
    </w:p>
    <w:p w14:paraId="1BF396E6">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3" w:firstLineChars="200"/>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val="0"/>
          <w:bCs w:val="0"/>
          <w:sz w:val="32"/>
          <w:szCs w:val="32"/>
          <w:highlight w:val="none"/>
        </w:rPr>
        <w:t>本行董事会作为最高决策机构，负责确定绿色信贷发展战略，审批高级管理层制定的绿色信贷目标和提交的绿色信贷报告，监督、评估本机构绿色信贷发展战略执行情况，重视发挥本行在促进经济社会全面、协调、可持续发展中的作用，建立与社会共赢的可持续发展模式。</w:t>
      </w:r>
    </w:p>
    <w:p w14:paraId="35C03FE1">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val="0"/>
          <w:bCs w:val="0"/>
          <w:sz w:val="32"/>
          <w:szCs w:val="32"/>
          <w:highlight w:val="none"/>
          <w:lang w:val="en-US" w:eastAsia="zh-CN"/>
        </w:rPr>
        <w:t>（二）</w:t>
      </w:r>
      <w:r>
        <w:rPr>
          <w:rFonts w:hint="eastAsia" w:ascii="仿宋" w:hAnsi="仿宋" w:eastAsia="仿宋" w:cs="仿宋"/>
          <w:sz w:val="32"/>
          <w:szCs w:val="32"/>
          <w:highlight w:val="none"/>
        </w:rPr>
        <w:t>高级管理层层面</w:t>
      </w:r>
    </w:p>
    <w:p w14:paraId="4EAB2803">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jc w:val="left"/>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rPr>
        <w:t>本行高级管理层负责根据董事会的决定，制定绿色信贷目标、建立绿色信贷管理机制和流程，明确各部门职责和权限；加大绿色信贷投放，促进更多信贷资金投向绿色制造、节能环保、污染防治、清洁能源、绿色农业、新能源、新材料等重点领域，进一步优化</w:t>
      </w:r>
      <w:r>
        <w:rPr>
          <w:rFonts w:hint="eastAsia" w:ascii="仿宋" w:hAnsi="仿宋" w:eastAsia="仿宋" w:cs="仿宋"/>
          <w:b w:val="0"/>
          <w:bCs w:val="0"/>
          <w:sz w:val="32"/>
          <w:szCs w:val="32"/>
          <w:highlight w:val="none"/>
          <w:lang w:eastAsia="zh-CN"/>
        </w:rPr>
        <w:t>本行</w:t>
      </w:r>
      <w:r>
        <w:rPr>
          <w:rFonts w:hint="eastAsia" w:ascii="仿宋" w:hAnsi="仿宋" w:eastAsia="仿宋" w:cs="仿宋"/>
          <w:b w:val="0"/>
          <w:bCs w:val="0"/>
          <w:sz w:val="32"/>
          <w:szCs w:val="32"/>
          <w:highlight w:val="none"/>
        </w:rPr>
        <w:t>资产结构。</w:t>
      </w:r>
    </w:p>
    <w:p w14:paraId="26B7AE64">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1" w:firstLineChars="200"/>
        <w:textAlignment w:val="auto"/>
        <w:rPr>
          <w:rFonts w:hint="eastAsia" w:ascii="仿宋" w:hAnsi="仿宋" w:eastAsia="仿宋" w:cs="仿宋"/>
          <w:w w:val="95"/>
          <w:sz w:val="32"/>
          <w:szCs w:val="32"/>
          <w:highlight w:val="none"/>
        </w:rPr>
      </w:pPr>
      <w:r>
        <w:rPr>
          <w:rFonts w:hint="eastAsia" w:ascii="仿宋" w:hAnsi="仿宋" w:eastAsia="仿宋" w:cs="仿宋"/>
          <w:w w:val="95"/>
          <w:sz w:val="32"/>
          <w:szCs w:val="32"/>
          <w:highlight w:val="none"/>
          <w:lang w:eastAsia="zh-CN"/>
        </w:rPr>
        <w:t>（三）</w:t>
      </w:r>
      <w:r>
        <w:rPr>
          <w:rFonts w:hint="eastAsia" w:ascii="仿宋" w:hAnsi="仿宋" w:eastAsia="仿宋" w:cs="仿宋"/>
          <w:w w:val="95"/>
          <w:sz w:val="32"/>
          <w:szCs w:val="32"/>
          <w:highlight w:val="none"/>
          <w:lang w:val="en-US" w:eastAsia="zh-CN"/>
        </w:rPr>
        <w:t>专业部门层面</w:t>
      </w:r>
    </w:p>
    <w:p w14:paraId="39F45F13">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 xml:space="preserve">在董事会和高级管理层的领导下，本行积极探索绿色金融 </w:t>
      </w:r>
      <w:r>
        <w:rPr>
          <w:rFonts w:hint="eastAsia" w:ascii="仿宋" w:hAnsi="仿宋" w:eastAsia="仿宋" w:cs="仿宋"/>
          <w:b w:val="0"/>
          <w:bCs w:val="0"/>
          <w:spacing w:val="-1"/>
          <w:sz w:val="32"/>
          <w:szCs w:val="32"/>
          <w:highlight w:val="none"/>
        </w:rPr>
        <w:t>业务发展途径，努力提升绿色金融服务水平，不断强化各执行</w:t>
      </w:r>
      <w:r>
        <w:rPr>
          <w:rFonts w:hint="eastAsia" w:ascii="仿宋" w:hAnsi="仿宋" w:eastAsia="仿宋" w:cs="仿宋"/>
          <w:b w:val="0"/>
          <w:bCs w:val="0"/>
          <w:sz w:val="32"/>
          <w:szCs w:val="32"/>
          <w:highlight w:val="none"/>
        </w:rPr>
        <w:t>部门贯彻落实相关工作。</w:t>
      </w:r>
    </w:p>
    <w:p w14:paraId="7B9C426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绿色金融业务部门：</w:t>
      </w:r>
      <w:r>
        <w:rPr>
          <w:rFonts w:hint="eastAsia" w:ascii="仿宋" w:hAnsi="仿宋" w:eastAsia="仿宋" w:cs="仿宋"/>
          <w:b w:val="0"/>
          <w:bCs w:val="0"/>
          <w:sz w:val="32"/>
          <w:szCs w:val="32"/>
          <w:highlight w:val="none"/>
          <w:lang w:val="en-US" w:eastAsia="zh-CN"/>
        </w:rPr>
        <w:t>本行已指定市场部、微小一队、微小二队、微小三队作为绿色金融业务部门。</w:t>
      </w:r>
      <w:r>
        <w:rPr>
          <w:rFonts w:hint="eastAsia" w:ascii="仿宋" w:hAnsi="仿宋" w:eastAsia="仿宋" w:cs="仿宋"/>
          <w:sz w:val="32"/>
          <w:szCs w:val="32"/>
          <w:highlight w:val="none"/>
          <w:lang w:val="en-US" w:eastAsia="zh-CN"/>
        </w:rPr>
        <w:t>负责全行绿色金融业务的统筹规划和协调运作、产品创新、营销推动等具体事项的统筹、协调、联动。</w:t>
      </w:r>
    </w:p>
    <w:p w14:paraId="2792A16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风险管理部：</w:t>
      </w:r>
      <w:r>
        <w:rPr>
          <w:rFonts w:hint="eastAsia" w:ascii="仿宋" w:hAnsi="仿宋" w:eastAsia="仿宋" w:cs="仿宋"/>
          <w:b w:val="0"/>
          <w:bCs w:val="0"/>
          <w:sz w:val="32"/>
          <w:szCs w:val="32"/>
          <w:highlight w:val="none"/>
          <w:lang w:val="en-US" w:eastAsia="zh-CN"/>
        </w:rPr>
        <w:t>负责</w:t>
      </w:r>
      <w:r>
        <w:rPr>
          <w:rFonts w:hint="eastAsia" w:ascii="仿宋" w:hAnsi="仿宋" w:eastAsia="仿宋" w:cs="仿宋"/>
          <w:sz w:val="32"/>
          <w:szCs w:val="32"/>
          <w:highlight w:val="none"/>
          <w:lang w:val="en-US" w:eastAsia="zh-CN"/>
        </w:rPr>
        <w:t>制定全行绿色信贷支持方向、环境和社会风险相关的授信政策、制度、流程，推进绿色领域的行业调研分析等。</w:t>
      </w:r>
    </w:p>
    <w:p w14:paraId="11C3AD5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综合管理部：</w:t>
      </w:r>
      <w:r>
        <w:rPr>
          <w:rFonts w:hint="eastAsia" w:ascii="仿宋" w:hAnsi="仿宋" w:eastAsia="仿宋" w:cs="仿宋"/>
          <w:sz w:val="32"/>
          <w:szCs w:val="32"/>
          <w:highlight w:val="none"/>
          <w:lang w:val="en-US" w:eastAsia="zh-CN"/>
        </w:rPr>
        <w:t>负责统筹绿色运营工作，大力宣导绿色低碳理念，推动绿色低碳发展，在全行建立低碳办公、低碳出行、节能改造、绿色采购等机制。</w:t>
      </w:r>
    </w:p>
    <w:p w14:paraId="22472F1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pacing w:val="-6"/>
          <w:sz w:val="32"/>
          <w:szCs w:val="32"/>
          <w:highlight w:val="none"/>
          <w:lang w:eastAsia="zh-CN"/>
        </w:rPr>
      </w:pPr>
      <w:r>
        <w:rPr>
          <w:rFonts w:hint="eastAsia" w:ascii="仿宋" w:hAnsi="仿宋" w:eastAsia="仿宋" w:cs="仿宋"/>
          <w:b/>
          <w:bCs/>
          <w:sz w:val="32"/>
          <w:szCs w:val="32"/>
          <w:highlight w:val="none"/>
          <w:lang w:val="en-US" w:eastAsia="zh-CN"/>
        </w:rPr>
        <w:t>营业部：</w:t>
      </w:r>
      <w:r>
        <w:rPr>
          <w:rFonts w:hint="eastAsia" w:ascii="仿宋" w:hAnsi="仿宋" w:eastAsia="仿宋" w:cs="仿宋"/>
          <w:spacing w:val="-6"/>
          <w:sz w:val="32"/>
          <w:szCs w:val="32"/>
          <w:highlight w:val="none"/>
        </w:rPr>
        <w:t>负责</w:t>
      </w:r>
      <w:r>
        <w:rPr>
          <w:rFonts w:hint="eastAsia" w:ascii="仿宋" w:hAnsi="仿宋" w:eastAsia="仿宋" w:cs="仿宋"/>
          <w:spacing w:val="-6"/>
          <w:sz w:val="32"/>
          <w:szCs w:val="32"/>
          <w:highlight w:val="none"/>
          <w:lang w:eastAsia="zh-CN"/>
        </w:rPr>
        <w:t>相关财务类的</w:t>
      </w:r>
      <w:r>
        <w:rPr>
          <w:rFonts w:hint="eastAsia" w:ascii="仿宋" w:hAnsi="仿宋" w:eastAsia="仿宋" w:cs="仿宋"/>
          <w:spacing w:val="-6"/>
          <w:sz w:val="32"/>
          <w:szCs w:val="32"/>
          <w:highlight w:val="none"/>
        </w:rPr>
        <w:t>相关具体工作</w:t>
      </w:r>
      <w:r>
        <w:rPr>
          <w:rFonts w:hint="eastAsia" w:ascii="仿宋" w:hAnsi="仿宋" w:eastAsia="仿宋" w:cs="仿宋"/>
          <w:spacing w:val="-6"/>
          <w:sz w:val="32"/>
          <w:szCs w:val="32"/>
          <w:highlight w:val="none"/>
          <w:lang w:eastAsia="zh-CN"/>
        </w:rPr>
        <w:t>。</w:t>
      </w:r>
    </w:p>
    <w:p w14:paraId="66FDED4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三、环境相关政策制度</w:t>
      </w:r>
    </w:p>
    <w:p w14:paraId="65C21BC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（一）外部政策制度</w:t>
      </w:r>
    </w:p>
    <w:p w14:paraId="653A6C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2013年，中国金融监管机构开始建立行业统一的绿色标准和统计制度，银保监会制定了《绿色信贷统计制度》，并组织主要银行开展绿色信贷自评价；</w:t>
      </w:r>
    </w:p>
    <w:p w14:paraId="44BB7CA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2015年，中国人民银行、国家发展和改革委员会发布了绿色金融债和绿色企业债支持项目的目录和范围；</w:t>
      </w:r>
    </w:p>
    <w:p w14:paraId="76FF635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2016年，中国人民银行等七部委联合发布了全球首个国家层面的绿色金融政策——《关于构建绿色金融体系的指导意 见》，其中明确提到了要逐步建立和完善信息披露制度；   </w:t>
      </w:r>
    </w:p>
    <w:p w14:paraId="669855D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2019年，国家发展和改革委员会、中国人民银行等七部委联合发布了《绿色产业指导目录》，明确“绿色产业”的定义与范围；</w:t>
      </w:r>
    </w:p>
    <w:p w14:paraId="5B16031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2023年，中国人民银行下发了《金融机构环境信息披露指南》，对年度环境信息披露报告进一步提出了规范性要求。以上政策为实现环境信息的披露奠定了基础。</w:t>
      </w:r>
    </w:p>
    <w:p w14:paraId="5599A1B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2023年，中国人民银行郴州市中心支行下发了</w:t>
      </w:r>
      <w:r>
        <w:rPr>
          <w:rFonts w:hint="eastAsia" w:ascii="仿宋" w:hAnsi="仿宋" w:eastAsia="仿宋" w:cs="仿宋"/>
          <w:w w:val="95"/>
          <w:sz w:val="32"/>
          <w:szCs w:val="32"/>
          <w:highlight w:val="none"/>
          <w:lang w:eastAsia="zh-CN"/>
        </w:rPr>
        <w:t>《中国人民银行郴州市中心支行办公室关于印发郴州市地方法人金融机构环境信息披露工作方案的通知》</w:t>
      </w:r>
      <w:r>
        <w:rPr>
          <w:rFonts w:hint="eastAsia" w:ascii="仿宋" w:hAnsi="仿宋" w:eastAsia="仿宋" w:cs="仿宋"/>
          <w:w w:val="95"/>
          <w:sz w:val="32"/>
          <w:szCs w:val="32"/>
          <w:highlight w:val="none"/>
          <w:lang w:val="en-US" w:eastAsia="zh-CN"/>
        </w:rPr>
        <w:t>（郴银办〔2023〕3号），进一步提升了郴州市地方法人金融机构环境信息披露能力与质量，助推郴州市绿色金融高质量发展。</w:t>
      </w:r>
    </w:p>
    <w:p w14:paraId="137C29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（二）内部政策制度</w:t>
      </w:r>
    </w:p>
    <w:p w14:paraId="33FFE23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本行始终紧紧围绕国家完善绿色金融服务体系要求，从信贷投向指引、绿色运营、风险管控等方面发展绿色金融。</w:t>
      </w:r>
    </w:p>
    <w:p w14:paraId="26ECB46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出台《桂阳沪农商村镇银行2024年基本授信政策指引》，聚焦绿色金融、普惠金融、乡村振兴，加大绿色信贷有效投放。坚持绿色金融，加大制造业支持力度，积极支持培育新动能、符合供给侧结构性改革方向的现代农业、居民消费产业、制造业转型升级、现代服务业的信贷投放。重点对水电、光伏、乡村旅游、清洁能源建设、农田水利、生态农业等绿色行业进行信贷支持。顺应乡村振兴、新型城镇化、城乡融合发展趋势，进一步加强村行传统优势，深化三农金融服务，大力支持乡村振兴。</w:t>
      </w:r>
      <w:r>
        <w:rPr>
          <w:rFonts w:hint="eastAsia" w:ascii="仿宋" w:hAnsi="仿宋" w:eastAsia="仿宋" w:cs="仿宋"/>
          <w:sz w:val="32"/>
          <w:szCs w:val="32"/>
          <w:highlight w:val="none"/>
          <w:lang w:val="en-US" w:eastAsia="zh-CN"/>
        </w:rPr>
        <w:br w:type="textWrapping"/>
      </w:r>
      <w:r>
        <w:rPr>
          <w:rFonts w:hint="eastAsia" w:ascii="仿宋" w:hAnsi="仿宋" w:eastAsia="仿宋" w:cs="仿宋"/>
          <w:sz w:val="32"/>
          <w:szCs w:val="32"/>
          <w:highlight w:val="none"/>
          <w:lang w:val="en-US" w:eastAsia="zh-CN"/>
        </w:rPr>
        <w:t xml:space="preserve">    绿色运营方面，通过出台《桂阳沪农商村镇银行水电管理办法》《桂阳沪农商村镇银行安全保卫管理办法》《桂阳沪农商村镇银行集中采购管理办法》等制度，出台《节能减排低碳生活倡议书》等举措，践行绿色运营理念，达到节能、降耗等目标。</w:t>
      </w:r>
    </w:p>
    <w:p w14:paraId="1CD0111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风险管控方面，通过出台《桂阳沪农商村镇银行董事会授权书》《桂阳沪农商村镇银行微小贷款不良资产责任认定处理管理办法》等制度，将环境风险、环境不良企业纳入名单制管理，持续完善环境风险管理体系。</w:t>
      </w:r>
    </w:p>
    <w:p w14:paraId="3EC6118C">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特色绿色信贷产品制度：《桂阳沪农商村镇银行“惠能贷”业务管理办法》《桂阳沪农商村镇银行农村土地承包经营权抵押贷款管理试行办法》《桂阳沪农商村镇银行新农村建房农户联保贷款管理办法》《桂阳沪农商惠民贷及村居业务管理办法》《桂阳沪农商村镇银行“惠e贷”业务管理办法》等。</w:t>
      </w:r>
    </w:p>
    <w:p w14:paraId="6C75421B">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 xml:space="preserve">    四、环境相关产品与创新与服务</w:t>
      </w:r>
    </w:p>
    <w:p w14:paraId="4AC4CC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满足小微“三农”多层次、个性化需求，本行不断创新绿色金融产品与服务，先后推出“烟叶贷”“玉竹贷”“惠民贷”“惠企贷”等绿色产品，并结合县域地理位置属于太阳能资源三类地区优势，充分利用日照资源，推出居民屋顶分布式光伏发电产品“惠能贷”，通过准入有资质的光伏发电公司，以光伏公司保证担保方式，国家电网并网卖电收入为第一还款来源，为各乡镇村民提供屋顶光伏发电站建设融资，带动当地乡镇村民创利增收，扶持乡镇产业发展，实现清洁能源乡镇建设和乡村振兴的有机结合，促进县域能源结构清洁化转型。</w:t>
      </w:r>
    </w:p>
    <w:p w14:paraId="152EAC70">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另外，结合大数据以及风控模型推出线上贷款产品“惠E贷”，实现全流程无纸化信贷；推出移动信贷系统，提倡电子办公，减少纸张等办公用品消耗，持续推动金融业务绿色低碳高质量发展。</w:t>
      </w:r>
    </w:p>
    <w:p w14:paraId="36567B2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五、环境风险管理及流程</w:t>
      </w:r>
    </w:p>
    <w:p w14:paraId="2B5A6CA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（一）识别和评估流程</w:t>
      </w:r>
    </w:p>
    <w:p w14:paraId="43B68A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不断健全环境风险管理体系，修订更新《桂阳沪农商村镇银行全面风险管理办法》《桂阳沪农商村镇银行互联网贷款风险管理办法》《桂阳沪农商村镇银行操作风险管理评价办法》，密切关注融资业务各环节，在贷前、贷中及贷后各个阶段对环境相关风险进行识别、评估和管理，严格执行国家产业政策、环境管理及污染治理等政策要求，提升环境风险管理专业化水平，促进绿色金融发展。</w:t>
      </w:r>
    </w:p>
    <w:p w14:paraId="3B23409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建立健全环境风险评估和应急预案制度，根据监管部门的检查重点及通报情况，行内定期进行自查自纠；依据行业风险集中度等监管指标，动态监测、预警；设置专门部门及人员负责识别与预防环境风险，定期开展风险评估。</w:t>
      </w:r>
    </w:p>
    <w:p w14:paraId="4F1189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管理和控制流程</w:t>
      </w:r>
    </w:p>
    <w:p w14:paraId="45047BF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一是做实以业务经办部门为主体的第一道防线。业务经办部门为经办业务的最前端，直接面对市场及客户，更是风险管控的第一道关口。本行以高强度的日常培训，通过授信业务二十禁、临柜业务四十禁等内部规章制度，树立提升业务人员技能水平及合规意识。</w:t>
      </w:r>
    </w:p>
    <w:p w14:paraId="5C17FA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是扎实筑牢以后台管理部门为主体的第二道防线。综合管理部、风险管理部作为本行管理架构中的后台部门，一方面需为前台业务部门提供有效的业务支撑，一方面也要将风险管理的第二道关口风险前移，实现前瞻性、全流程性。</w:t>
      </w:r>
    </w:p>
    <w:p w14:paraId="049CA9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是构建以审计监督部门为主体的第三道防线。首先本行通过非现场监测预警系统，自上而下实时管理控制风险情况；本行内部审计部门负责各条线业务的合规性检查，定期不定期的开展业务审计检查，有效履行监督管理职能，从而提升了第三道防线的再评估能力，落实管理的权威性。</w:t>
      </w:r>
    </w:p>
    <w:p w14:paraId="667367D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val="en-US" w:eastAsia="zh-CN"/>
        </w:rPr>
        <w:t>六、</w:t>
      </w:r>
      <w:r>
        <w:rPr>
          <w:rFonts w:hint="eastAsia" w:ascii="仿宋" w:hAnsi="仿宋" w:eastAsia="仿宋" w:cs="仿宋"/>
          <w:b/>
          <w:bCs/>
          <w:sz w:val="32"/>
          <w:szCs w:val="32"/>
          <w:highlight w:val="none"/>
        </w:rPr>
        <w:t>环境因素</w:t>
      </w:r>
      <w:r>
        <w:rPr>
          <w:rFonts w:hint="eastAsia" w:ascii="仿宋" w:hAnsi="仿宋" w:eastAsia="仿宋" w:cs="仿宋"/>
          <w:b/>
          <w:bCs/>
          <w:sz w:val="32"/>
          <w:szCs w:val="32"/>
          <w:highlight w:val="none"/>
          <w:lang w:val="en-US" w:eastAsia="zh-CN"/>
        </w:rPr>
        <w:t>产生的</w:t>
      </w:r>
      <w:r>
        <w:rPr>
          <w:rFonts w:hint="eastAsia" w:ascii="仿宋" w:hAnsi="仿宋" w:eastAsia="仿宋" w:cs="仿宋"/>
          <w:b/>
          <w:bCs/>
          <w:sz w:val="32"/>
          <w:szCs w:val="32"/>
          <w:highlight w:val="none"/>
        </w:rPr>
        <w:t>影响</w:t>
      </w:r>
    </w:p>
    <w:p w14:paraId="49F35C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风险和机遇</w:t>
      </w:r>
    </w:p>
    <w:p w14:paraId="719E68C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kern w:val="2"/>
          <w:sz w:val="32"/>
          <w:szCs w:val="32"/>
          <w:highlight w:val="none"/>
          <w:lang w:val="en-US" w:eastAsia="zh-CN" w:bidi="ar-SA"/>
        </w:rPr>
        <w:t>2022年6月，中国银保监会印发《银行业保险业绿色金融指引》，要求银行保险机构深入贯彻落实新发展理念，从战略高度推进绿色金融，加大对绿色、低碳、循环经济的支持，防范环境、社会和治理险。环境风险包括物理风险、转型风险。与商业银行传统的风险相比，环境风险呈现明显的强外部性、强传递性、强动态性的特征，并对商业银行全面风险控制造成影响。</w:t>
      </w:r>
    </w:p>
    <w:p w14:paraId="265DB4C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222222"/>
          <w:spacing w:val="8"/>
          <w:sz w:val="32"/>
          <w:szCs w:val="32"/>
          <w:highlight w:val="none"/>
          <w:shd w:val="clear" w:fill="FFFFFF"/>
          <w:lang w:val="en-US" w:eastAsia="zh-CN"/>
        </w:rPr>
        <w:t>本行</w:t>
      </w:r>
      <w:r>
        <w:rPr>
          <w:rFonts w:hint="eastAsia" w:ascii="仿宋" w:hAnsi="仿宋" w:eastAsia="仿宋" w:cs="仿宋"/>
          <w:i w:val="0"/>
          <w:iCs w:val="0"/>
          <w:caps w:val="0"/>
          <w:color w:val="222222"/>
          <w:spacing w:val="8"/>
          <w:sz w:val="32"/>
          <w:szCs w:val="32"/>
          <w:highlight w:val="none"/>
          <w:shd w:val="clear" w:fill="FFFFFF"/>
        </w:rPr>
        <w:t>可能面临的环境风险，主要体现在绿色信贷中，因环保相关项目不达标而停产或停业，从而引起的信用风险，涉及的行业主要有采矿业、制造业、电力</w:t>
      </w:r>
      <w:r>
        <w:rPr>
          <w:rFonts w:hint="eastAsia" w:ascii="仿宋" w:hAnsi="仿宋" w:eastAsia="仿宋" w:cs="仿宋"/>
          <w:i w:val="0"/>
          <w:iCs w:val="0"/>
          <w:caps w:val="0"/>
          <w:color w:val="222222"/>
          <w:spacing w:val="8"/>
          <w:sz w:val="32"/>
          <w:szCs w:val="32"/>
          <w:highlight w:val="none"/>
          <w:shd w:val="clear" w:fill="FFFFFF"/>
          <w:lang w:eastAsia="zh-CN"/>
        </w:rPr>
        <w:t>、</w:t>
      </w:r>
      <w:r>
        <w:rPr>
          <w:rFonts w:hint="eastAsia" w:ascii="仿宋" w:hAnsi="仿宋" w:eastAsia="仿宋" w:cs="仿宋"/>
          <w:i w:val="0"/>
          <w:iCs w:val="0"/>
          <w:caps w:val="0"/>
          <w:color w:val="222222"/>
          <w:spacing w:val="8"/>
          <w:sz w:val="32"/>
          <w:szCs w:val="32"/>
          <w:highlight w:val="none"/>
          <w:shd w:val="clear" w:fill="FFFFFF"/>
        </w:rPr>
        <w:t>餐饮业、房地产业等，</w:t>
      </w:r>
      <w:r>
        <w:rPr>
          <w:rFonts w:hint="eastAsia" w:ascii="仿宋" w:hAnsi="仿宋" w:eastAsia="仿宋" w:cs="仿宋"/>
          <w:i w:val="0"/>
          <w:iCs w:val="0"/>
          <w:caps w:val="0"/>
          <w:color w:val="222222"/>
          <w:spacing w:val="8"/>
          <w:sz w:val="32"/>
          <w:szCs w:val="32"/>
          <w:highlight w:val="none"/>
          <w:shd w:val="clear" w:fill="FFFFFF"/>
          <w:lang w:val="en-US" w:eastAsia="zh-CN"/>
        </w:rPr>
        <w:t>本</w:t>
      </w:r>
      <w:r>
        <w:rPr>
          <w:rFonts w:hint="eastAsia" w:ascii="仿宋" w:hAnsi="仿宋" w:eastAsia="仿宋" w:cs="仿宋"/>
          <w:i w:val="0"/>
          <w:iCs w:val="0"/>
          <w:caps w:val="0"/>
          <w:color w:val="222222"/>
          <w:spacing w:val="8"/>
          <w:sz w:val="32"/>
          <w:szCs w:val="32"/>
          <w:highlight w:val="none"/>
          <w:shd w:val="clear" w:fill="FFFFFF"/>
        </w:rPr>
        <w:t>行对以上几类行业，加强环保监测调查，随时关注环保、安全生产等政策法规，对环境和社会表现不合规、违法违规、污染严重、社会影响负面的客户，及时采取应对措施，加强风险防范。</w:t>
      </w:r>
    </w:p>
    <w:p w14:paraId="0AC864CC">
      <w:pPr>
        <w:pStyle w:val="2"/>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（二）环境风险的应对</w:t>
      </w:r>
    </w:p>
    <w:p w14:paraId="4138746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为应对气候风险，本行持续保持对国家和监管环境政策变化情况的关注，将绿色金融发展纳入本行发展战略，稳步建立健全绿色金融管理体系，一是从风险治理架构完善环境风险文化和顶层设计。二是建立环境风险管理策略，明确环境风险偏好和风险限额。三是建立环境风险管理政策和程序。四是完善环境风险管理信息系统和数据质量控制机制。五是将环境风险纳入内部控制和审计体系。</w:t>
      </w:r>
    </w:p>
    <w:p w14:paraId="4412E07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5" w:firstLineChars="200"/>
        <w:textAlignment w:val="auto"/>
        <w:rPr>
          <w:rFonts w:hint="eastAsia" w:ascii="仿宋" w:hAnsi="仿宋" w:eastAsia="仿宋" w:cs="仿宋"/>
          <w:b/>
          <w:bCs/>
          <w:i w:val="0"/>
          <w:iCs w:val="0"/>
          <w:caps w:val="0"/>
          <w:color w:val="222222"/>
          <w:spacing w:val="8"/>
          <w:sz w:val="32"/>
          <w:szCs w:val="32"/>
          <w:highlight w:val="none"/>
          <w:shd w:val="clear" w:fill="FFFFFF"/>
          <w:lang w:val="en-US" w:eastAsia="zh-CN"/>
        </w:rPr>
      </w:pPr>
      <w:r>
        <w:rPr>
          <w:rFonts w:hint="eastAsia" w:ascii="仿宋" w:hAnsi="仿宋" w:eastAsia="仿宋" w:cs="仿宋"/>
          <w:b/>
          <w:bCs/>
          <w:i w:val="0"/>
          <w:iCs w:val="0"/>
          <w:caps w:val="0"/>
          <w:color w:val="222222"/>
          <w:spacing w:val="8"/>
          <w:sz w:val="32"/>
          <w:szCs w:val="32"/>
          <w:highlight w:val="none"/>
          <w:shd w:val="clear" w:fill="FFFFFF"/>
          <w:lang w:val="en-US" w:eastAsia="zh-CN"/>
        </w:rPr>
        <w:t>七、环境风险量化分析</w:t>
      </w:r>
    </w:p>
    <w:p w14:paraId="12898C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本行在环境风险量化分析方面通过定期对流动性风险和业务连续性开展应急演练并分析，目的是为了各部门梳理流程、补足短板、提高应急处置能力。本行要求全行干部员工认真学习重大事项报告、风险管理等制度，做到人人应知应会，明确各自岗位职责和应急行动程序，遇到紧急情况，能够快速响应，同时加强员工技能培训和心理辅导，提高员工综合素质，提高应急处置能力。</w:t>
      </w:r>
    </w:p>
    <w:p w14:paraId="3BF1B60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 xml:space="preserve"> </w:t>
      </w:r>
      <w:r>
        <w:rPr>
          <w:rFonts w:hint="eastAsia" w:ascii="仿宋" w:hAnsi="仿宋" w:eastAsia="仿宋" w:cs="仿宋"/>
          <w:b/>
          <w:bCs/>
          <w:sz w:val="32"/>
          <w:szCs w:val="32"/>
          <w:highlight w:val="none"/>
          <w:lang w:val="en-US" w:eastAsia="zh-CN"/>
        </w:rPr>
        <w:t>八、投融资活动的环境影响</w:t>
      </w:r>
    </w:p>
    <w:p w14:paraId="6A0571E5">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630" w:leftChars="0" w:firstLineChars="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投融资</w:t>
      </w:r>
      <w:r>
        <w:rPr>
          <w:rFonts w:hint="eastAsia" w:ascii="仿宋" w:hAnsi="仿宋" w:eastAsia="仿宋" w:cs="仿宋"/>
          <w:b/>
          <w:bCs/>
          <w:sz w:val="32"/>
          <w:szCs w:val="32"/>
          <w:highlight w:val="none"/>
          <w:lang w:val="en-US" w:eastAsia="zh-CN"/>
        </w:rPr>
        <w:t>对</w:t>
      </w:r>
      <w:r>
        <w:rPr>
          <w:rFonts w:hint="eastAsia" w:ascii="仿宋" w:hAnsi="仿宋" w:eastAsia="仿宋" w:cs="仿宋"/>
          <w:b/>
          <w:bCs/>
          <w:sz w:val="32"/>
          <w:szCs w:val="32"/>
          <w:highlight w:val="none"/>
        </w:rPr>
        <w:t>环境</w:t>
      </w:r>
      <w:r>
        <w:rPr>
          <w:rFonts w:hint="eastAsia" w:ascii="仿宋" w:hAnsi="仿宋" w:eastAsia="仿宋" w:cs="仿宋"/>
          <w:b/>
          <w:bCs/>
          <w:sz w:val="32"/>
          <w:szCs w:val="32"/>
          <w:highlight w:val="none"/>
          <w:lang w:val="en-US" w:eastAsia="zh-CN"/>
        </w:rPr>
        <w:t>的</w:t>
      </w:r>
      <w:r>
        <w:rPr>
          <w:rFonts w:hint="eastAsia" w:ascii="仿宋" w:hAnsi="仿宋" w:eastAsia="仿宋" w:cs="仿宋"/>
          <w:b/>
          <w:bCs/>
          <w:sz w:val="32"/>
          <w:szCs w:val="32"/>
          <w:highlight w:val="none"/>
        </w:rPr>
        <w:t>影响</w:t>
      </w:r>
    </w:p>
    <w:p w14:paraId="3A409382">
      <w:pPr>
        <w:keepNext w:val="0"/>
        <w:keepLines w:val="0"/>
        <w:pageBreakBefore w:val="0"/>
        <w:widowControl w:val="0"/>
        <w:numPr>
          <w:ilvl w:val="0"/>
          <w:numId w:val="3"/>
        </w:numPr>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整体投融资情况及对环境的影响</w:t>
      </w:r>
      <w:r>
        <w:rPr>
          <w:rFonts w:hint="eastAsia" w:ascii="仿宋" w:hAnsi="仿宋" w:eastAsia="仿宋" w:cs="仿宋"/>
          <w:sz w:val="32"/>
          <w:szCs w:val="32"/>
          <w:highlight w:val="none"/>
          <w:lang w:eastAsia="zh-CN"/>
        </w:rPr>
        <w:t>；</w:t>
      </w:r>
    </w:p>
    <w:p w14:paraId="5EDA13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本行秉承“扎根县域、支农支小”的服务理念</w:t>
      </w:r>
      <w:r>
        <w:rPr>
          <w:rFonts w:hint="eastAsia" w:ascii="仿宋" w:hAnsi="仿宋" w:eastAsia="仿宋" w:cs="仿宋"/>
          <w:color w:val="000000" w:themeColor="text1"/>
          <w:sz w:val="32"/>
          <w:szCs w:val="32"/>
          <w:highlight w:val="none"/>
          <w14:textFill>
            <w14:solidFill>
              <w14:schemeClr w14:val="tx1"/>
            </w14:solidFill>
          </w14:textFill>
        </w:rPr>
        <w:t>，始终坚持服务三农、 服务小微，积极响应国家绿色金融相关政策，持续加大对绿色经济、低碳经济、循环经济的支持，促进本行投融资结构和经营发展向绿色转型。</w:t>
      </w:r>
      <w:r>
        <w:rPr>
          <w:rFonts w:hint="eastAsia" w:ascii="仿宋" w:hAnsi="仿宋" w:eastAsia="仿宋" w:cs="仿宋"/>
          <w:color w:val="000000" w:themeColor="text1"/>
          <w:sz w:val="32"/>
          <w:szCs w:val="32"/>
          <w:highlight w:val="none"/>
          <w:lang w:eastAsia="zh-CN"/>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4</w:t>
      </w:r>
      <w:r>
        <w:rPr>
          <w:rFonts w:hint="eastAsia" w:ascii="仿宋" w:hAnsi="仿宋" w:eastAsia="仿宋" w:cs="仿宋"/>
          <w:color w:val="000000" w:themeColor="text1"/>
          <w:sz w:val="32"/>
          <w:szCs w:val="32"/>
          <w:highlight w:val="none"/>
          <w14:textFill>
            <w14:solidFill>
              <w14:schemeClr w14:val="tx1"/>
            </w14:solidFill>
          </w14:textFill>
        </w:rPr>
        <w:t>年，本行继续将“两高一剩”行业列为退出限制类行业，持续保持“两高一剩”行业贷款零余额，同时严格控制违规新增产能的信贷投入</w:t>
      </w:r>
      <w:r>
        <w:rPr>
          <w:rFonts w:hint="eastAsia" w:ascii="仿宋" w:hAnsi="仿宋" w:eastAsia="仿宋" w:cs="仿宋"/>
          <w:color w:val="000000" w:themeColor="text1"/>
          <w:sz w:val="32"/>
          <w:szCs w:val="32"/>
          <w:highlight w:val="none"/>
          <w:lang w:eastAsia="zh-CN"/>
          <w14:textFill>
            <w14:solidFill>
              <w14:schemeClr w14:val="tx1"/>
            </w14:solidFill>
          </w14:textFill>
        </w:rPr>
        <w:t>。</w:t>
      </w:r>
      <w:r>
        <w:rPr>
          <w:rFonts w:hint="eastAsia" w:ascii="仿宋" w:hAnsi="仿宋" w:eastAsia="仿宋" w:cs="仿宋"/>
          <w:color w:val="000000" w:themeColor="text1"/>
          <w:sz w:val="32"/>
          <w:szCs w:val="32"/>
          <w:highlight w:val="none"/>
          <w:lang w:val="en-US" w:eastAsia="zh-CN"/>
          <w14:textFill>
            <w14:solidFill>
              <w14:schemeClr w14:val="tx1"/>
            </w14:solidFill>
          </w14:textFill>
        </w:rPr>
        <w:t>截止2024年年末，本行绿色贷款余额为560.55万元。</w:t>
      </w:r>
    </w:p>
    <w:p w14:paraId="090FD3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投融资结构较之前年度的变动及</w:t>
      </w:r>
      <w:r>
        <w:rPr>
          <w:rFonts w:hint="eastAsia" w:ascii="仿宋" w:hAnsi="仿宋" w:eastAsia="仿宋" w:cs="仿宋"/>
          <w:sz w:val="32"/>
          <w:szCs w:val="32"/>
          <w:highlight w:val="none"/>
          <w:lang w:val="en-US" w:eastAsia="zh-CN"/>
        </w:rPr>
        <w:t>变化带来的</w:t>
      </w:r>
      <w:r>
        <w:rPr>
          <w:rFonts w:hint="eastAsia" w:ascii="仿宋" w:hAnsi="仿宋" w:eastAsia="仿宋" w:cs="仿宋"/>
          <w:sz w:val="32"/>
          <w:szCs w:val="32"/>
          <w:highlight w:val="none"/>
        </w:rPr>
        <w:t>影响</w:t>
      </w:r>
      <w:r>
        <w:rPr>
          <w:rFonts w:hint="eastAsia" w:ascii="仿宋" w:hAnsi="仿宋" w:eastAsia="仿宋" w:cs="仿宋"/>
          <w:sz w:val="32"/>
          <w:szCs w:val="32"/>
          <w:highlight w:val="none"/>
          <w:lang w:eastAsia="zh-CN"/>
        </w:rPr>
        <w:t>；</w:t>
      </w:r>
    </w:p>
    <w:p w14:paraId="6DFC56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本行根据银监会《关于报送绿色信贷统计表的通知》（银 监办发〔2013〕185 号）的监管统计填报规则，及银保监会2020 年5月发布的《绿色信贷项目节能减排量测算指引》测算绿色信贷的环境影响，主要数据来源于绿色信贷项目的可研报告和立项批复等文件。受客观条件限制，本行在相关制度文件中无法获取有关本行绿色贷款碳排放因子的数据，无法准确计算其碳减排量。</w:t>
      </w:r>
    </w:p>
    <w:p w14:paraId="3CA6B6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绿色投融资</w:t>
      </w:r>
      <w:r>
        <w:rPr>
          <w:rFonts w:hint="eastAsia" w:ascii="仿宋" w:hAnsi="仿宋" w:eastAsia="仿宋" w:cs="仿宋"/>
          <w:sz w:val="32"/>
          <w:szCs w:val="32"/>
          <w:highlight w:val="none"/>
          <w:lang w:val="en-US" w:eastAsia="zh-CN"/>
        </w:rPr>
        <w:t>案例及</w:t>
      </w:r>
      <w:r>
        <w:rPr>
          <w:rFonts w:hint="eastAsia" w:ascii="仿宋" w:hAnsi="仿宋" w:eastAsia="仿宋" w:cs="仿宋"/>
          <w:sz w:val="32"/>
          <w:szCs w:val="32"/>
          <w:highlight w:val="none"/>
        </w:rPr>
        <w:t>政策执行效果</w:t>
      </w:r>
    </w:p>
    <w:p w14:paraId="2C253C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践行普惠金融使命的实践中，桂阳沪农商村镇银行创新绿色金融服务模式，有效破解县域分布式光伏项目融资难题。2020年以来，桂阳县域内长沙**太阳能有限公司与桂阳县**生态农业有限公司联合推进乡镇居民屋顶光伏项目，累计覆盖十余个乡镇。面对装机容量小（3-12kW）、融资需求分散（单户3-15万元）、服务半径大等现实挑战，该行主动突破传统信贷服务边界：通过下沉服务网络完成37个自然村实地尽调，创新"惠能贷"产品实行差异化审批机制，建立绿色通道实现72小时放款。最终以352万元专项信贷支持，成功带动农户增收，实现碳减排，形成"绿色投资+农户创收+生态效益"的三重价值闭环。该案例为县域金融机构开展"小而美"绿色金融服务提供了可复制的操作范式。</w:t>
      </w:r>
    </w:p>
    <w:p w14:paraId="7B2B81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2474595" cy="1971040"/>
            <wp:effectExtent l="0" t="0" r="1905" b="10160"/>
            <wp:docPr id="3" name="图片 3" descr="2adb7e1908ebf42616f8a6b423de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db7e1908ebf42616f8a6b423decad"/>
                    <pic:cNvPicPr>
                      <a:picLocks noChangeAspect="1"/>
                    </pic:cNvPicPr>
                  </pic:nvPicPr>
                  <pic:blipFill>
                    <a:blip r:embed="rId11"/>
                    <a:stretch>
                      <a:fillRect/>
                    </a:stretch>
                  </pic:blipFill>
                  <pic:spPr>
                    <a:xfrm>
                      <a:off x="0" y="0"/>
                      <a:ext cx="2474595" cy="1971040"/>
                    </a:xfrm>
                    <a:prstGeom prst="rect">
                      <a:avLst/>
                    </a:prstGeom>
                  </pic:spPr>
                </pic:pic>
              </a:graphicData>
            </a:graphic>
          </wp:inline>
        </w:drawing>
      </w:r>
      <w:r>
        <w:rPr>
          <w:highlight w:val="none"/>
        </w:rPr>
        <w:drawing>
          <wp:inline distT="0" distB="0" distL="114300" distR="114300">
            <wp:extent cx="2514600" cy="1973580"/>
            <wp:effectExtent l="0" t="0" r="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514600" cy="1973580"/>
                    </a:xfrm>
                    <a:prstGeom prst="rect">
                      <a:avLst/>
                    </a:prstGeom>
                    <a:noFill/>
                    <a:ln>
                      <a:noFill/>
                    </a:ln>
                  </pic:spPr>
                </pic:pic>
              </a:graphicData>
            </a:graphic>
          </wp:inline>
        </w:drawing>
      </w:r>
    </w:p>
    <w:p w14:paraId="2F4C70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桂阳县太和镇湾塘村是中药材黄精种植基地，是湖南省中药材黄精种植示范基地之一，黄精种植规模首区一指。黄精食之性味甘甜、爽口，又是很多中药配方的主要材料，既可以充饥，又可以健身。在疫情防控期间销量不断增长，种植户们为扩大种植规模需购买切割机、烘干机等设备，但资金成了他们的难题。本行在了解农户的融资需求后，及时入村调查，掌握玉竹的种植、收割、加工、销售等情况，与村组签订整村授信合作协议，为种植户逐一量身制定“惠民贷”授信方案，为超过70余户药材种植户提供超过800万元授信，促进了黄精种植产业的健康发展。</w:t>
      </w:r>
    </w:p>
    <w:p w14:paraId="3CF28C5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val="en-US" w:eastAsia="zh-CN"/>
        </w:rPr>
        <w:drawing>
          <wp:inline distT="0" distB="0" distL="114300" distR="114300">
            <wp:extent cx="3158490" cy="2369185"/>
            <wp:effectExtent l="0" t="0" r="3810" b="5715"/>
            <wp:docPr id="12" name="图片 12" descr="4f7b14bd30178c0be3521384ec4e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f7b14bd30178c0be3521384ec4e0cb"/>
                    <pic:cNvPicPr>
                      <a:picLocks noChangeAspect="1"/>
                    </pic:cNvPicPr>
                  </pic:nvPicPr>
                  <pic:blipFill>
                    <a:blip r:embed="rId13"/>
                    <a:stretch>
                      <a:fillRect/>
                    </a:stretch>
                  </pic:blipFill>
                  <pic:spPr>
                    <a:xfrm>
                      <a:off x="0" y="0"/>
                      <a:ext cx="3158490" cy="2369185"/>
                    </a:xfrm>
                    <a:prstGeom prst="rect">
                      <a:avLst/>
                    </a:prstGeom>
                  </pic:spPr>
                </pic:pic>
              </a:graphicData>
            </a:graphic>
          </wp:inline>
        </w:drawing>
      </w:r>
    </w:p>
    <w:p w14:paraId="1AC90472">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b/>
          <w:bCs/>
          <w:color w:val="auto"/>
          <w:sz w:val="32"/>
          <w:szCs w:val="32"/>
          <w:highlight w:val="none"/>
          <w:lang w:val="en-US" w:eastAsia="zh-CN"/>
        </w:rPr>
        <w:t>九、经营活动的环境影响</w:t>
      </w:r>
    </w:p>
    <w:p w14:paraId="4E408134">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（一）经营活动温室气体排放与资源消耗计算</w:t>
      </w:r>
    </w:p>
    <w:p w14:paraId="3412327B">
      <w:pPr>
        <w:keepNext w:val="0"/>
        <w:keepLines w:val="0"/>
        <w:pageBreakBefore w:val="0"/>
        <w:widowControl w:val="0"/>
        <w:kinsoku/>
        <w:wordWrap/>
        <w:overflowPunct/>
        <w:topLinePunct w:val="0"/>
        <w:autoSpaceDE/>
        <w:autoSpaceDN/>
        <w:bidi w:val="0"/>
        <w:adjustRightInd/>
        <w:snapToGrid/>
        <w:spacing w:before="58" w:line="500" w:lineRule="exact"/>
        <w:ind w:right="0" w:firstLine="643" w:firstLineChars="200"/>
        <w:jc w:val="left"/>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eastAsia="zh-CN"/>
        </w:rPr>
        <w:t>本</w:t>
      </w:r>
      <w:r>
        <w:rPr>
          <w:rFonts w:hint="eastAsia" w:ascii="仿宋" w:hAnsi="仿宋" w:eastAsia="仿宋" w:cs="仿宋"/>
          <w:b/>
          <w:sz w:val="32"/>
          <w:szCs w:val="32"/>
          <w:highlight w:val="none"/>
        </w:rPr>
        <w:t>行经营活动产生的直接及间接自然资源消耗：</w:t>
      </w:r>
    </w:p>
    <w:tbl>
      <w:tblPr>
        <w:tblStyle w:val="12"/>
        <w:tblpPr w:leftFromText="180" w:rightFromText="180" w:vertAnchor="text" w:horzAnchor="page" w:tblpXSpec="center" w:tblpY="409"/>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0"/>
        <w:gridCol w:w="3795"/>
        <w:gridCol w:w="2095"/>
      </w:tblGrid>
      <w:tr w14:paraId="2963F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8220" w:type="dxa"/>
            <w:gridSpan w:val="3"/>
          </w:tcPr>
          <w:p w14:paraId="2CAE119D">
            <w:pPr>
              <w:pStyle w:val="16"/>
              <w:keepNext w:val="0"/>
              <w:keepLines w:val="0"/>
              <w:pageBreakBefore w:val="0"/>
              <w:widowControl w:val="0"/>
              <w:kinsoku/>
              <w:wordWrap/>
              <w:overflowPunct/>
              <w:topLinePunct w:val="0"/>
              <w:autoSpaceDE/>
              <w:autoSpaceDN/>
              <w:bidi w:val="0"/>
              <w:adjustRightInd/>
              <w:snapToGrid/>
              <w:spacing w:before="107" w:line="500" w:lineRule="exact"/>
              <w:ind w:left="2020" w:right="2011"/>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4</w:t>
            </w:r>
            <w:r>
              <w:rPr>
                <w:rFonts w:hint="eastAsia" w:ascii="仿宋" w:hAnsi="仿宋" w:eastAsia="仿宋" w:cs="仿宋"/>
                <w:b/>
                <w:sz w:val="24"/>
                <w:szCs w:val="24"/>
                <w:highlight w:val="none"/>
              </w:rPr>
              <w:t>年经营活动产生的自然资源消耗</w:t>
            </w:r>
          </w:p>
        </w:tc>
      </w:tr>
      <w:tr w14:paraId="64CE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2330" w:type="dxa"/>
          </w:tcPr>
          <w:p w14:paraId="5545D932">
            <w:pPr>
              <w:pStyle w:val="16"/>
              <w:keepNext w:val="0"/>
              <w:keepLines w:val="0"/>
              <w:pageBreakBefore w:val="0"/>
              <w:widowControl w:val="0"/>
              <w:kinsoku/>
              <w:wordWrap/>
              <w:overflowPunct/>
              <w:topLinePunct w:val="0"/>
              <w:autoSpaceDE/>
              <w:autoSpaceDN/>
              <w:bidi w:val="0"/>
              <w:adjustRightInd/>
              <w:snapToGrid/>
              <w:spacing w:line="500" w:lineRule="exact"/>
              <w:ind w:right="1123"/>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指标类型</w:t>
            </w:r>
          </w:p>
        </w:tc>
        <w:tc>
          <w:tcPr>
            <w:tcW w:w="3795" w:type="dxa"/>
          </w:tcPr>
          <w:p w14:paraId="42326967">
            <w:pPr>
              <w:pStyle w:val="16"/>
              <w:keepNext w:val="0"/>
              <w:keepLines w:val="0"/>
              <w:pageBreakBefore w:val="0"/>
              <w:widowControl w:val="0"/>
              <w:kinsoku/>
              <w:wordWrap/>
              <w:overflowPunct/>
              <w:topLinePunct w:val="0"/>
              <w:autoSpaceDE/>
              <w:autoSpaceDN/>
              <w:bidi w:val="0"/>
              <w:adjustRightInd/>
              <w:snapToGrid/>
              <w:spacing w:line="500" w:lineRule="exact"/>
              <w:ind w:right="107" w:firstLine="960" w:firstLineChars="4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指标名称</w:t>
            </w:r>
          </w:p>
        </w:tc>
        <w:tc>
          <w:tcPr>
            <w:tcW w:w="2095" w:type="dxa"/>
          </w:tcPr>
          <w:p w14:paraId="2FD465B7">
            <w:pPr>
              <w:pStyle w:val="16"/>
              <w:keepNext w:val="0"/>
              <w:keepLines w:val="0"/>
              <w:pageBreakBefore w:val="0"/>
              <w:widowControl w:val="0"/>
              <w:kinsoku/>
              <w:wordWrap/>
              <w:overflowPunct/>
              <w:topLinePunct w:val="0"/>
              <w:autoSpaceDE/>
              <w:autoSpaceDN/>
              <w:bidi w:val="0"/>
              <w:adjustRightInd/>
              <w:snapToGrid/>
              <w:spacing w:before="211" w:line="500" w:lineRule="exact"/>
              <w:ind w:right="1030" w:firstLine="240" w:firstLineChars="1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2024年</w:t>
            </w:r>
          </w:p>
        </w:tc>
      </w:tr>
      <w:tr w14:paraId="0B055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jc w:val="center"/>
        </w:trPr>
        <w:tc>
          <w:tcPr>
            <w:tcW w:w="2330" w:type="dxa"/>
            <w:vMerge w:val="restart"/>
          </w:tcPr>
          <w:p w14:paraId="544DD5C1">
            <w:pPr>
              <w:pStyle w:val="16"/>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4"/>
                <w:szCs w:val="24"/>
                <w:highlight w:val="none"/>
              </w:rPr>
            </w:pPr>
          </w:p>
          <w:p w14:paraId="48A578D7">
            <w:pPr>
              <w:pStyle w:val="16"/>
              <w:keepNext w:val="0"/>
              <w:keepLines w:val="0"/>
              <w:pageBreakBefore w:val="0"/>
              <w:widowControl w:val="0"/>
              <w:kinsoku/>
              <w:wordWrap/>
              <w:overflowPunct/>
              <w:topLinePunct w:val="0"/>
              <w:autoSpaceDE/>
              <w:autoSpaceDN/>
              <w:bidi w:val="0"/>
              <w:adjustRightInd/>
              <w:snapToGrid/>
              <w:spacing w:line="500" w:lineRule="exact"/>
              <w:ind w:right="149"/>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经营活动直接产生的温室气体排放和自然资源消耗</w:t>
            </w:r>
          </w:p>
        </w:tc>
        <w:tc>
          <w:tcPr>
            <w:tcW w:w="3795" w:type="dxa"/>
          </w:tcPr>
          <w:p w14:paraId="0A7F4CA2">
            <w:pPr>
              <w:pStyle w:val="16"/>
              <w:keepNext w:val="0"/>
              <w:keepLines w:val="0"/>
              <w:pageBreakBefore w:val="0"/>
              <w:widowControl w:val="0"/>
              <w:kinsoku/>
              <w:wordWrap/>
              <w:overflowPunct/>
              <w:topLinePunct w:val="0"/>
              <w:autoSpaceDE/>
              <w:autoSpaceDN/>
              <w:bidi w:val="0"/>
              <w:adjustRightInd/>
              <w:snapToGrid/>
              <w:spacing w:before="56" w:line="500" w:lineRule="exac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金融机构自有交通运输工具所消耗的汽油量（</w:t>
            </w:r>
            <w:r>
              <w:rPr>
                <w:rFonts w:hint="eastAsia" w:ascii="仿宋" w:hAnsi="仿宋" w:eastAsia="仿宋" w:cs="仿宋"/>
                <w:sz w:val="24"/>
                <w:szCs w:val="24"/>
                <w:highlight w:val="none"/>
                <w:lang w:val="en-US" w:eastAsia="zh-CN"/>
              </w:rPr>
              <w:t>升</w:t>
            </w:r>
            <w:r>
              <w:rPr>
                <w:rFonts w:hint="eastAsia" w:ascii="仿宋" w:hAnsi="仿宋" w:eastAsia="仿宋" w:cs="仿宋"/>
                <w:sz w:val="24"/>
                <w:szCs w:val="24"/>
                <w:highlight w:val="none"/>
              </w:rPr>
              <w:t>）</w:t>
            </w:r>
          </w:p>
        </w:tc>
        <w:tc>
          <w:tcPr>
            <w:tcW w:w="2095" w:type="dxa"/>
          </w:tcPr>
          <w:p w14:paraId="17D7254C">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2835</w:t>
            </w:r>
          </w:p>
        </w:tc>
      </w:tr>
      <w:tr w14:paraId="4700C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330" w:type="dxa"/>
            <w:vMerge w:val="continue"/>
            <w:tcBorders>
              <w:top w:val="nil"/>
            </w:tcBorders>
          </w:tcPr>
          <w:p w14:paraId="68B94E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p>
        </w:tc>
        <w:tc>
          <w:tcPr>
            <w:tcW w:w="3795" w:type="dxa"/>
          </w:tcPr>
          <w:p w14:paraId="25835871">
            <w:pPr>
              <w:pStyle w:val="16"/>
              <w:keepNext w:val="0"/>
              <w:keepLines w:val="0"/>
              <w:pageBreakBefore w:val="0"/>
              <w:widowControl w:val="0"/>
              <w:kinsoku/>
              <w:wordWrap/>
              <w:overflowPunct/>
              <w:topLinePunct w:val="0"/>
              <w:autoSpaceDE/>
              <w:autoSpaceDN/>
              <w:bidi w:val="0"/>
              <w:adjustRightInd/>
              <w:snapToGrid/>
              <w:spacing w:before="55" w:line="500" w:lineRule="exact"/>
              <w:ind w:left="687" w:right="124" w:hanging="55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营业、办公活动所消耗的液化石油气（立方米）</w:t>
            </w:r>
          </w:p>
        </w:tc>
        <w:tc>
          <w:tcPr>
            <w:tcW w:w="2095" w:type="dxa"/>
            <w:vAlign w:val="top"/>
          </w:tcPr>
          <w:p w14:paraId="34CF2F5A">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675.67</w:t>
            </w:r>
          </w:p>
        </w:tc>
      </w:tr>
      <w:tr w14:paraId="68CC3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jc w:val="center"/>
        </w:trPr>
        <w:tc>
          <w:tcPr>
            <w:tcW w:w="2330" w:type="dxa"/>
            <w:vMerge w:val="continue"/>
            <w:tcBorders>
              <w:top w:val="nil"/>
            </w:tcBorders>
          </w:tcPr>
          <w:p w14:paraId="40A279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p>
        </w:tc>
        <w:tc>
          <w:tcPr>
            <w:tcW w:w="3795" w:type="dxa"/>
          </w:tcPr>
          <w:p w14:paraId="02C2D4F3">
            <w:pPr>
              <w:pStyle w:val="16"/>
              <w:keepNext w:val="0"/>
              <w:keepLines w:val="0"/>
              <w:pageBreakBefore w:val="0"/>
              <w:widowControl w:val="0"/>
              <w:kinsoku/>
              <w:wordWrap/>
              <w:overflowPunct/>
              <w:topLinePunct w:val="0"/>
              <w:autoSpaceDE/>
              <w:autoSpaceDN/>
              <w:bidi w:val="0"/>
              <w:adjustRightInd/>
              <w:snapToGrid/>
              <w:spacing w:before="73" w:line="500" w:lineRule="exact"/>
              <w:ind w:left="118"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营业、办公活动所消耗的水</w:t>
            </w:r>
          </w:p>
          <w:p w14:paraId="42D1A340">
            <w:pPr>
              <w:pStyle w:val="16"/>
              <w:keepNext w:val="0"/>
              <w:keepLines w:val="0"/>
              <w:pageBreakBefore w:val="0"/>
              <w:widowControl w:val="0"/>
              <w:kinsoku/>
              <w:wordWrap/>
              <w:overflowPunct/>
              <w:topLinePunct w:val="0"/>
              <w:autoSpaceDE/>
              <w:autoSpaceDN/>
              <w:bidi w:val="0"/>
              <w:adjustRightInd/>
              <w:snapToGrid/>
              <w:spacing w:before="30" w:line="500" w:lineRule="exact"/>
              <w:ind w:left="115"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（吨）</w:t>
            </w:r>
          </w:p>
        </w:tc>
        <w:tc>
          <w:tcPr>
            <w:tcW w:w="2095" w:type="dxa"/>
            <w:vAlign w:val="top"/>
          </w:tcPr>
          <w:p w14:paraId="360574E5">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985</w:t>
            </w:r>
          </w:p>
        </w:tc>
      </w:tr>
      <w:tr w14:paraId="6EC5F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jc w:val="center"/>
        </w:trPr>
        <w:tc>
          <w:tcPr>
            <w:tcW w:w="2330" w:type="dxa"/>
            <w:vMerge w:val="restart"/>
          </w:tcPr>
          <w:p w14:paraId="00FFE0F1">
            <w:pPr>
              <w:pStyle w:val="16"/>
              <w:keepNext w:val="0"/>
              <w:keepLines w:val="0"/>
              <w:pageBreakBefore w:val="0"/>
              <w:widowControl w:val="0"/>
              <w:kinsoku/>
              <w:wordWrap/>
              <w:overflowPunct/>
              <w:topLinePunct w:val="0"/>
              <w:autoSpaceDE/>
              <w:autoSpaceDN/>
              <w:bidi w:val="0"/>
              <w:adjustRightInd/>
              <w:snapToGrid/>
              <w:spacing w:before="165" w:line="500" w:lineRule="exact"/>
              <w:ind w:right="149"/>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采购的产品或服务所产生的间接温室气体和间接自然消耗</w:t>
            </w:r>
          </w:p>
        </w:tc>
        <w:tc>
          <w:tcPr>
            <w:tcW w:w="3795" w:type="dxa"/>
          </w:tcPr>
          <w:p w14:paraId="6ACCB649">
            <w:pPr>
              <w:pStyle w:val="16"/>
              <w:keepNext w:val="0"/>
              <w:keepLines w:val="0"/>
              <w:pageBreakBefore w:val="0"/>
              <w:widowControl w:val="0"/>
              <w:kinsoku/>
              <w:wordWrap/>
              <w:overflowPunct/>
              <w:topLinePunct w:val="0"/>
              <w:autoSpaceDE/>
              <w:autoSpaceDN/>
              <w:bidi w:val="0"/>
              <w:adjustRightInd/>
              <w:snapToGrid/>
              <w:spacing w:before="73" w:line="500" w:lineRule="exact"/>
              <w:ind w:left="118"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营业、办公活动所消耗的电力</w:t>
            </w:r>
          </w:p>
          <w:p w14:paraId="1CEB3B6B">
            <w:pPr>
              <w:pStyle w:val="16"/>
              <w:keepNext w:val="0"/>
              <w:keepLines w:val="0"/>
              <w:pageBreakBefore w:val="0"/>
              <w:widowControl w:val="0"/>
              <w:kinsoku/>
              <w:wordWrap/>
              <w:overflowPunct/>
              <w:topLinePunct w:val="0"/>
              <w:autoSpaceDE/>
              <w:autoSpaceDN/>
              <w:bidi w:val="0"/>
              <w:adjustRightInd/>
              <w:snapToGrid/>
              <w:spacing w:before="30" w:line="500" w:lineRule="exact"/>
              <w:ind w:left="115"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（万瓦时）</w:t>
            </w:r>
          </w:p>
        </w:tc>
        <w:tc>
          <w:tcPr>
            <w:tcW w:w="2095" w:type="dxa"/>
            <w:vAlign w:val="top"/>
          </w:tcPr>
          <w:p w14:paraId="594C0728">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259520</w:t>
            </w:r>
          </w:p>
        </w:tc>
      </w:tr>
      <w:tr w14:paraId="55A2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jc w:val="center"/>
        </w:trPr>
        <w:tc>
          <w:tcPr>
            <w:tcW w:w="2330" w:type="dxa"/>
            <w:vMerge w:val="continue"/>
            <w:tcBorders>
              <w:top w:val="nil"/>
            </w:tcBorders>
          </w:tcPr>
          <w:p w14:paraId="4C7B15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p>
        </w:tc>
        <w:tc>
          <w:tcPr>
            <w:tcW w:w="3795" w:type="dxa"/>
          </w:tcPr>
          <w:p w14:paraId="75921F05">
            <w:pPr>
              <w:pStyle w:val="16"/>
              <w:keepNext w:val="0"/>
              <w:keepLines w:val="0"/>
              <w:pageBreakBefore w:val="0"/>
              <w:widowControl w:val="0"/>
              <w:kinsoku/>
              <w:wordWrap/>
              <w:overflowPunct/>
              <w:topLinePunct w:val="0"/>
              <w:autoSpaceDE/>
              <w:autoSpaceDN/>
              <w:bidi w:val="0"/>
              <w:adjustRightInd/>
              <w:snapToGrid/>
              <w:spacing w:before="72" w:line="500" w:lineRule="exact"/>
              <w:ind w:left="118"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营业、办公活动所使用的纸张</w:t>
            </w:r>
          </w:p>
          <w:p w14:paraId="6E8D64B5">
            <w:pPr>
              <w:pStyle w:val="16"/>
              <w:keepNext w:val="0"/>
              <w:keepLines w:val="0"/>
              <w:pageBreakBefore w:val="0"/>
              <w:widowControl w:val="0"/>
              <w:kinsoku/>
              <w:wordWrap/>
              <w:overflowPunct/>
              <w:topLinePunct w:val="0"/>
              <w:autoSpaceDE/>
              <w:autoSpaceDN/>
              <w:bidi w:val="0"/>
              <w:adjustRightInd/>
              <w:snapToGrid/>
              <w:spacing w:before="31" w:line="500" w:lineRule="exact"/>
              <w:ind w:left="115" w:right="107"/>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箱</w:t>
            </w:r>
            <w:r>
              <w:rPr>
                <w:rFonts w:hint="eastAsia" w:ascii="仿宋" w:hAnsi="仿宋" w:eastAsia="仿宋" w:cs="仿宋"/>
                <w:sz w:val="24"/>
                <w:szCs w:val="24"/>
                <w:highlight w:val="none"/>
              </w:rPr>
              <w:t>）</w:t>
            </w:r>
          </w:p>
        </w:tc>
        <w:tc>
          <w:tcPr>
            <w:tcW w:w="2095" w:type="dxa"/>
          </w:tcPr>
          <w:p w14:paraId="4FC215AB">
            <w:pPr>
              <w:pStyle w:val="16"/>
              <w:keepNext w:val="0"/>
              <w:keepLines w:val="0"/>
              <w:pageBreakBefore w:val="0"/>
              <w:widowControl w:val="0"/>
              <w:kinsoku/>
              <w:wordWrap/>
              <w:overflowPunct/>
              <w:topLinePunct w:val="0"/>
              <w:autoSpaceDE/>
              <w:autoSpaceDN/>
              <w:bidi w:val="0"/>
              <w:adjustRightInd/>
              <w:snapToGrid/>
              <w:spacing w:line="500" w:lineRule="exact"/>
              <w:ind w:firstLine="240" w:firstLineChars="1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145</w:t>
            </w:r>
          </w:p>
        </w:tc>
      </w:tr>
    </w:tbl>
    <w:p w14:paraId="152DF951">
      <w:pPr>
        <w:keepNext w:val="0"/>
        <w:keepLines w:val="0"/>
        <w:pageBreakBefore w:val="0"/>
        <w:kinsoku/>
        <w:wordWrap/>
        <w:overflowPunct/>
        <w:topLinePunct w:val="0"/>
        <w:autoSpaceDE/>
        <w:autoSpaceDN/>
        <w:bidi w:val="0"/>
        <w:adjustRightInd/>
        <w:snapToGrid/>
        <w:spacing w:before="208" w:line="540" w:lineRule="atLeast"/>
        <w:ind w:right="0"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注：95号汽油的密度为0.737g/ml</w:t>
      </w:r>
    </w:p>
    <w:p w14:paraId="1AA2EC1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（二）经营活动环境影响的计算</w:t>
      </w:r>
    </w:p>
    <w:p w14:paraId="2AEFD08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此次环境数据披露的边界设定依据《温室气体核算体系： 企业核算和报告标准》中提供的运营控制权法进行界定，为本行本部和下辖3家支行，在2024年1月1日至2024年12月31日期间内产生的排放。此次环境数据的计算依据为《温室气体核算体系：企业核算体系与报告标准》依此标准确定了本行范围一、范围二的排放。</w:t>
      </w:r>
    </w:p>
    <w:p w14:paraId="3379FFA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本行范围一：</w:t>
      </w:r>
      <w:r>
        <w:rPr>
          <w:rFonts w:hint="eastAsia" w:ascii="仿宋" w:hAnsi="仿宋" w:eastAsia="仿宋" w:cs="仿宋"/>
          <w:sz w:val="32"/>
          <w:szCs w:val="32"/>
          <w:highlight w:val="none"/>
          <w:lang w:val="en-US" w:eastAsia="zh-CN"/>
        </w:rPr>
        <w:t>直接排放为公务车辆运营消耗的汽油及使用液化石油气引起的排放，计算方法为本行消耗的汽油量乘以汽油对应的排放因子、本行消耗的液化石油气乘以液化石油气对应的排放因子。</w:t>
      </w:r>
    </w:p>
    <w:p w14:paraId="77E3E4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本行范围二：</w:t>
      </w:r>
      <w:r>
        <w:rPr>
          <w:rFonts w:hint="eastAsia" w:ascii="仿宋" w:hAnsi="仿宋" w:eastAsia="仿宋" w:cs="仿宋"/>
          <w:sz w:val="32"/>
          <w:szCs w:val="32"/>
          <w:highlight w:val="none"/>
          <w:lang w:val="en-US" w:eastAsia="zh-CN"/>
        </w:rPr>
        <w:t>为电力消耗引起的排放，计算方法为本行消耗的电量乘以对应电网的排放因子。计算方法采用《温室气体核算体系：企业核算体系与报告标准》，排放因子选取中国银行保险监督管理委员会于2020年5月印发的第二版《绿色信贷项目节能减排量测算指引》中的数据。</w:t>
      </w:r>
    </w:p>
    <w:p w14:paraId="3E8406A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具体计算公式如下：</w:t>
      </w:r>
    </w:p>
    <w:p w14:paraId="6154263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1695450" cy="695325"/>
            <wp:effectExtent l="0" t="0" r="6350" b="317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4"/>
                    <a:stretch>
                      <a:fillRect/>
                    </a:stretch>
                  </pic:blipFill>
                  <pic:spPr>
                    <a:xfrm>
                      <a:off x="0" y="0"/>
                      <a:ext cx="1695450" cy="695325"/>
                    </a:xfrm>
                    <a:prstGeom prst="rect">
                      <a:avLst/>
                    </a:prstGeom>
                  </pic:spPr>
                </pic:pic>
              </a:graphicData>
            </a:graphic>
          </wp:inline>
        </w:drawing>
      </w:r>
    </w:p>
    <w:p w14:paraId="114AE3A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注：此公式为基本公式，二氧化碳排放应按照具体能源消费品种分别计算。</w:t>
      </w:r>
    </w:p>
    <w:p w14:paraId="13C3BE8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式中：</w:t>
      </w:r>
    </w:p>
    <w:p w14:paraId="4A847FB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CO2—项目二氧化碳减排量，单位为吨二氧化碳；</w:t>
      </w:r>
    </w:p>
    <w:p w14:paraId="50348A1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Ei —项目某能源消费品种的实物量，单位为吨（或兆瓦时或万立方米等）；</w:t>
      </w:r>
    </w:p>
    <w:p w14:paraId="5F929E1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w w:val="100"/>
          <w:position w:val="-3"/>
          <w:sz w:val="32"/>
          <w:szCs w:val="32"/>
          <w:highlight w:val="none"/>
        </w:rPr>
        <w:t>i</w:t>
      </w:r>
      <w:r>
        <w:rPr>
          <w:rFonts w:hint="eastAsia" w:ascii="仿宋" w:hAnsi="仿宋" w:eastAsia="仿宋" w:cs="仿宋"/>
          <w:i/>
          <w:position w:val="-3"/>
          <w:sz w:val="32"/>
          <w:szCs w:val="32"/>
          <w:highlight w:val="none"/>
        </w:rPr>
        <w:t xml:space="preserve"> </w:t>
      </w:r>
      <w:r>
        <w:rPr>
          <w:rFonts w:hint="eastAsia" w:ascii="仿宋" w:hAnsi="仿宋" w:eastAsia="仿宋" w:cs="仿宋"/>
          <w:w w:val="99"/>
          <w:sz w:val="32"/>
          <w:szCs w:val="32"/>
          <w:highlight w:val="none"/>
        </w:rPr>
        <w:t>—</w:t>
      </w:r>
      <w:r>
        <w:rPr>
          <w:rFonts w:hint="eastAsia" w:ascii="仿宋" w:hAnsi="仿宋" w:eastAsia="仿宋" w:cs="仿宋"/>
          <w:sz w:val="32"/>
          <w:szCs w:val="32"/>
          <w:highlight w:val="none"/>
          <w:lang w:val="en-US" w:eastAsia="zh-CN"/>
        </w:rPr>
        <w:t>项目消费能源品种的二氧化碳排放因子，单位为吨二氧化碳/吨（或吨二氧化碳/兆瓦时或吨二氧化碳/万立方米）。液化石油气消耗产生的温室气体排放。</w:t>
      </w:r>
    </w:p>
    <w:p w14:paraId="6ADC6A4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1、范围一（直接排放）</w:t>
      </w:r>
    </w:p>
    <w:p w14:paraId="1DB922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（1）液化石油气的二氧化碳排放</w:t>
      </w:r>
    </w:p>
    <w:p w14:paraId="758857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包括全行营业、办公活动所消耗的液化石油气，排放因子取值参照《绿色信贷节能减排量测算指引》的规定：经国家主管部门确认的经验折算系数，适用于2017年及以后，液化石油气的二氧化碳排放因子可取2.17tCO2 /m3液化石油气。</w:t>
      </w:r>
    </w:p>
    <w:p w14:paraId="562ECD41">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（2）自有交通运输工具所产生的温室气体排放量</w:t>
      </w:r>
    </w:p>
    <w:p w14:paraId="2FC69DA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包括总行层面自有交通运输工具汽油消耗量，排放因子取值参照《绿色信贷节能减排量测算指引》的规定：交通工具用动力汽油二氧化碳排放因子均可取2.98tCO2 /t 汽油。</w:t>
      </w:r>
    </w:p>
    <w:p w14:paraId="42CE3B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2、范围二（间接排放）</w:t>
      </w:r>
    </w:p>
    <w:p w14:paraId="0AACD4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外购电力消耗所产生的温室气体排放量</w:t>
      </w:r>
    </w:p>
    <w:p w14:paraId="686534A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本行所处湖南省属华中电网，根据国家发改委应对气候变化司发布的2012年中国区域电网平均二氧化碳排放因子i(tCO2/Mwh)统计，华中区域电网（河南省、湖北省、湖南省、江西省、 四川省、重庆市）的排放因子为0.5257tCO2 /Mwh。</w:t>
      </w:r>
    </w:p>
    <w:p w14:paraId="5A1DAA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3.温室气体总量</w:t>
      </w:r>
    </w:p>
    <w:p w14:paraId="61391CE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为直接温室气体排放总量（范围一）和间接温室气体排放（范围二）的综合。</w:t>
      </w:r>
    </w:p>
    <w:p w14:paraId="2711B3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4.人均碳足迹的核算</w:t>
      </w:r>
    </w:p>
    <w:p w14:paraId="13A152F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2024年经营活动产生的直接和间接自然资源消耗统计对象范围为全行，以总排放量对应的统计口径员工人数57人为基数。</w:t>
      </w:r>
    </w:p>
    <w:p w14:paraId="7459F4B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（二）采取的环保措施</w:t>
      </w:r>
    </w:p>
    <w:p w14:paraId="03E068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积极贯彻国家低碳经济政策，坚持可持续发展的治理理念，倡导绿色运营。为降低经营活动对环境的影响，</w:t>
      </w: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通过实施一系列减排行动</w:t>
      </w:r>
      <w:r>
        <w:rPr>
          <w:rFonts w:hint="eastAsia" w:ascii="仿宋" w:hAnsi="仿宋" w:eastAsia="仿宋" w:cs="仿宋"/>
          <w:color w:val="auto"/>
          <w:sz w:val="32"/>
          <w:szCs w:val="32"/>
          <w:highlight w:val="none"/>
          <w:lang w:eastAsia="zh-CN"/>
        </w:rPr>
        <w:t>。</w:t>
      </w:r>
    </w:p>
    <w:p w14:paraId="794C43BB">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用电管理：</w:t>
      </w:r>
      <w:r>
        <w:rPr>
          <w:rFonts w:hint="eastAsia" w:ascii="仿宋" w:hAnsi="仿宋" w:eastAsia="仿宋" w:cs="仿宋"/>
          <w:color w:val="auto"/>
          <w:sz w:val="32"/>
          <w:szCs w:val="32"/>
          <w:highlight w:val="none"/>
        </w:rPr>
        <w:t>严格控制办公室的空调温度，夏季不低于摄氏 26 度，冬季不高于20 度，离开办公室时间较长或下班时要关闭空调，空调启动后办公室门窗尽量不要</w:t>
      </w:r>
      <w:r>
        <w:rPr>
          <w:rFonts w:hint="eastAsia" w:ascii="仿宋" w:hAnsi="仿宋" w:eastAsia="仿宋" w:cs="仿宋"/>
          <w:color w:val="auto"/>
          <w:sz w:val="32"/>
          <w:szCs w:val="32"/>
          <w:highlight w:val="none"/>
          <w:lang w:val="en-US" w:eastAsia="zh-CN"/>
        </w:rPr>
        <w:t>打</w:t>
      </w:r>
      <w:r>
        <w:rPr>
          <w:rFonts w:hint="eastAsia" w:ascii="仿宋" w:hAnsi="仿宋" w:eastAsia="仿宋" w:cs="仿宋"/>
          <w:color w:val="auto"/>
          <w:sz w:val="32"/>
          <w:szCs w:val="32"/>
          <w:highlight w:val="none"/>
        </w:rPr>
        <w:t>开。</w:t>
      </w:r>
      <w:r>
        <w:rPr>
          <w:rFonts w:hint="eastAsia" w:ascii="仿宋" w:hAnsi="仿宋" w:eastAsia="仿宋" w:cs="仿宋"/>
          <w:color w:val="auto"/>
          <w:sz w:val="32"/>
          <w:szCs w:val="32"/>
          <w:highlight w:val="none"/>
          <w:lang w:val="en-US" w:eastAsia="zh-CN"/>
        </w:rPr>
        <w:t>办公场所禁止吸烟。</w:t>
      </w:r>
      <w:r>
        <w:rPr>
          <w:rFonts w:hint="eastAsia" w:ascii="仿宋" w:hAnsi="仿宋" w:eastAsia="仿宋" w:cs="仿宋"/>
          <w:color w:val="auto"/>
          <w:sz w:val="32"/>
          <w:szCs w:val="32"/>
          <w:highlight w:val="none"/>
        </w:rPr>
        <w:t>培养员工良好的节约用电习惯。充分利用自然照明，减少不必要的照明用电，下班后人走灯灭</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下班后关闭不必要的办公设备用电，如空调、电脑、复印机打印机以及饮水机等。</w:t>
      </w:r>
    </w:p>
    <w:p w14:paraId="3038A906">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526665" cy="1135380"/>
            <wp:effectExtent l="0" t="0" r="635" b="7620"/>
            <wp:docPr id="5" name="图片 5" descr="7e6e0c8b4929580e86356e747bc4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e6e0c8b4929580e86356e747bc48c5"/>
                    <pic:cNvPicPr>
                      <a:picLocks noChangeAspect="1"/>
                    </pic:cNvPicPr>
                  </pic:nvPicPr>
                  <pic:blipFill>
                    <a:blip r:embed="rId15"/>
                    <a:stretch>
                      <a:fillRect/>
                    </a:stretch>
                  </pic:blipFill>
                  <pic:spPr>
                    <a:xfrm>
                      <a:off x="0" y="0"/>
                      <a:ext cx="2526665" cy="1135380"/>
                    </a:xfrm>
                    <a:prstGeom prst="rect">
                      <a:avLst/>
                    </a:prstGeom>
                  </pic:spPr>
                </pic:pic>
              </a:graphicData>
            </a:graphic>
          </wp:inline>
        </w:drawing>
      </w:r>
      <w:r>
        <w:rPr>
          <w:rFonts w:hint="eastAsia" w:ascii="仿宋" w:hAnsi="仿宋" w:eastAsia="仿宋" w:cs="仿宋"/>
          <w:sz w:val="32"/>
          <w:szCs w:val="32"/>
          <w:highlight w:val="none"/>
          <w:lang w:val="en-US" w:eastAsia="zh-CN"/>
        </w:rPr>
        <w:drawing>
          <wp:inline distT="0" distB="0" distL="114300" distR="114300">
            <wp:extent cx="2658745" cy="1178560"/>
            <wp:effectExtent l="0" t="0" r="8255" b="2540"/>
            <wp:docPr id="7" name="图片 7" descr="738cc498507566a7a9728d730421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8cc498507566a7a9728d730421e2c"/>
                    <pic:cNvPicPr>
                      <a:picLocks noChangeAspect="1"/>
                    </pic:cNvPicPr>
                  </pic:nvPicPr>
                  <pic:blipFill>
                    <a:blip r:embed="rId16"/>
                    <a:stretch>
                      <a:fillRect/>
                    </a:stretch>
                  </pic:blipFill>
                  <pic:spPr>
                    <a:xfrm>
                      <a:off x="0" y="0"/>
                      <a:ext cx="2658745" cy="1178560"/>
                    </a:xfrm>
                    <a:prstGeom prst="rect">
                      <a:avLst/>
                    </a:prstGeom>
                  </pic:spPr>
                </pic:pic>
              </a:graphicData>
            </a:graphic>
          </wp:inline>
        </w:drawing>
      </w:r>
    </w:p>
    <w:p w14:paraId="3FFFAA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2、车辆管理：</w:t>
      </w:r>
      <w:r>
        <w:rPr>
          <w:rFonts w:hint="eastAsia" w:ascii="仿宋" w:hAnsi="仿宋" w:eastAsia="仿宋" w:cs="仿宋"/>
          <w:color w:val="auto"/>
          <w:sz w:val="32"/>
          <w:szCs w:val="32"/>
          <w:highlight w:val="none"/>
        </w:rPr>
        <w:t>加强日常公务车辆管理，减少车辆能耗：公务用车保险、维修等加强集中釆购管理，降低运行成本。加强公车使用管理，合理做好车辆调度，提高车辆运行效率，减少车辆空驶。加强车辆日常维护，使车辆保持合理的技术状况。加强对</w:t>
      </w:r>
      <w:r>
        <w:rPr>
          <w:rFonts w:hint="eastAsia" w:ascii="仿宋" w:hAnsi="仿宋" w:eastAsia="仿宋" w:cs="仿宋"/>
          <w:color w:val="auto"/>
          <w:sz w:val="32"/>
          <w:szCs w:val="32"/>
          <w:highlight w:val="none"/>
          <w:lang w:val="en-US" w:eastAsia="zh-CN"/>
        </w:rPr>
        <w:t>司机</w:t>
      </w:r>
      <w:r>
        <w:rPr>
          <w:rFonts w:hint="eastAsia" w:ascii="仿宋" w:hAnsi="仿宋" w:eastAsia="仿宋" w:cs="仿宋"/>
          <w:color w:val="auto"/>
          <w:sz w:val="32"/>
          <w:szCs w:val="32"/>
          <w:highlight w:val="none"/>
        </w:rPr>
        <w:t>培训和教育工作，提高驾驶技能和爱护车辆的自觉性，努力降低车辆燃油消耗。</w:t>
      </w:r>
    </w:p>
    <w:p w14:paraId="3001AD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 3、用水管理：</w:t>
      </w:r>
      <w:r>
        <w:rPr>
          <w:rFonts w:hint="eastAsia" w:ascii="仿宋" w:hAnsi="仿宋" w:eastAsia="仿宋" w:cs="仿宋"/>
          <w:color w:val="auto"/>
          <w:sz w:val="32"/>
          <w:szCs w:val="32"/>
          <w:highlight w:val="none"/>
        </w:rPr>
        <w:t>合理使用水资源，严防滴、漏现象发生，定期检查更换水龙头、管道阀门，加强用水设备的日常检查和维护及时关闭水龙头。</w:t>
      </w:r>
    </w:p>
    <w:p w14:paraId="0DD57D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4、用纸管理：一是</w:t>
      </w:r>
      <w:r>
        <w:rPr>
          <w:rFonts w:hint="eastAsia" w:ascii="仿宋" w:hAnsi="仿宋" w:eastAsia="仿宋" w:cs="仿宋"/>
          <w:color w:val="auto"/>
          <w:sz w:val="32"/>
          <w:szCs w:val="32"/>
          <w:highlight w:val="none"/>
        </w:rPr>
        <w:t>结合大数据以及风控模型推出线上贷款产品“惠E贷”，实现全流程无纸化信贷；推出移动信贷系统</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二是本行在2023年7月实现柜面核心系统改造升级，办理业务留存电子回单，客户只仅需使用电子笔对生成的电子业务凭证进行签字确认，纸质凭证大幅度减少；三是办好对全员</w:t>
      </w:r>
      <w:r>
        <w:rPr>
          <w:rFonts w:hint="eastAsia" w:ascii="仿宋" w:hAnsi="仿宋" w:eastAsia="仿宋" w:cs="仿宋"/>
          <w:color w:val="auto"/>
          <w:sz w:val="32"/>
          <w:szCs w:val="32"/>
          <w:highlight w:val="none"/>
        </w:rPr>
        <w:t>提倡电子办公，减少纸张等办公用品消耗，对必须形成纸质件的，严格控制印刷数量，并提倡双面用纸。不必要的纸质稿件尽量使用电子文档审阅，减少纸张使用率，</w:t>
      </w:r>
      <w:r>
        <w:rPr>
          <w:rFonts w:hint="eastAsia" w:ascii="仿宋" w:hAnsi="仿宋" w:eastAsia="仿宋" w:cs="仿宋"/>
          <w:color w:val="auto"/>
          <w:sz w:val="32"/>
          <w:szCs w:val="32"/>
          <w:highlight w:val="none"/>
          <w:lang w:val="en-US" w:eastAsia="zh-CN"/>
        </w:rPr>
        <w:t>四是</w:t>
      </w:r>
      <w:r>
        <w:rPr>
          <w:rFonts w:hint="eastAsia" w:ascii="仿宋" w:hAnsi="仿宋" w:eastAsia="仿宋" w:cs="仿宋"/>
          <w:color w:val="auto"/>
          <w:sz w:val="32"/>
          <w:szCs w:val="32"/>
          <w:highlight w:val="none"/>
        </w:rPr>
        <w:t>做好办公设施设备保养，保持设备良好使用状态，减少损耗，节约耗材费用，杜绝浪费。</w:t>
      </w:r>
    </w:p>
    <w:p w14:paraId="05177E9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5、线上会议和无纸化办公：</w:t>
      </w:r>
      <w:r>
        <w:rPr>
          <w:rFonts w:hint="eastAsia" w:ascii="仿宋" w:hAnsi="仿宋" w:eastAsia="仿宋" w:cs="仿宋"/>
          <w:color w:val="auto"/>
          <w:sz w:val="32"/>
          <w:szCs w:val="32"/>
          <w:highlight w:val="none"/>
        </w:rPr>
        <w:t>尽量使用</w:t>
      </w:r>
      <w:r>
        <w:rPr>
          <w:rFonts w:hint="eastAsia" w:ascii="仿宋" w:hAnsi="仿宋" w:eastAsia="仿宋" w:cs="仿宋"/>
          <w:color w:val="auto"/>
          <w:sz w:val="32"/>
          <w:szCs w:val="32"/>
          <w:highlight w:val="none"/>
          <w:lang w:val="en-US" w:eastAsia="zh-CN"/>
        </w:rPr>
        <w:t>视频等</w:t>
      </w:r>
      <w:r>
        <w:rPr>
          <w:rFonts w:hint="eastAsia" w:ascii="仿宋" w:hAnsi="仿宋" w:eastAsia="仿宋" w:cs="仿宋"/>
          <w:color w:val="auto"/>
          <w:sz w:val="32"/>
          <w:szCs w:val="32"/>
          <w:highlight w:val="none"/>
        </w:rPr>
        <w:t>简单便捷形式召开会议，原则上能釆用视频音频形式召开的会议，不以现场形式召开；尽量釆取小规模座谈会汇报会、专题会等形式研究部署工作。</w:t>
      </w:r>
      <w:r>
        <w:rPr>
          <w:rFonts w:hint="eastAsia" w:ascii="仿宋" w:hAnsi="仿宋" w:eastAsia="仿宋" w:cs="仿宋"/>
          <w:color w:val="auto"/>
          <w:sz w:val="32"/>
          <w:szCs w:val="32"/>
          <w:highlight w:val="none"/>
          <w:lang w:val="en-US" w:eastAsia="zh-CN"/>
        </w:rPr>
        <w:t>使用移动pad办理业务逐步实现</w:t>
      </w:r>
      <w:r>
        <w:rPr>
          <w:rFonts w:hint="eastAsia" w:ascii="仿宋" w:hAnsi="仿宋" w:eastAsia="仿宋" w:cs="仿宋"/>
          <w:color w:val="auto"/>
          <w:sz w:val="32"/>
          <w:szCs w:val="32"/>
          <w:highlight w:val="none"/>
        </w:rPr>
        <w:t>柜面交易无纸化、</w:t>
      </w:r>
      <w:r>
        <w:rPr>
          <w:rFonts w:hint="eastAsia" w:ascii="仿宋" w:hAnsi="仿宋" w:eastAsia="仿宋" w:cs="仿宋"/>
          <w:color w:val="auto"/>
          <w:sz w:val="32"/>
          <w:szCs w:val="32"/>
          <w:highlight w:val="none"/>
          <w:lang w:val="en-US" w:eastAsia="zh-CN"/>
        </w:rPr>
        <w:t>对接大数据平台推出线上贷款。</w:t>
      </w:r>
    </w:p>
    <w:p w14:paraId="66E52D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6、食堂管理：</w:t>
      </w:r>
      <w:r>
        <w:rPr>
          <w:rFonts w:hint="eastAsia" w:ascii="仿宋" w:hAnsi="仿宋" w:eastAsia="仿宋" w:cs="仿宋"/>
          <w:color w:val="auto"/>
          <w:sz w:val="32"/>
          <w:szCs w:val="32"/>
          <w:highlight w:val="none"/>
        </w:rPr>
        <w:t>提前收集用餐需求，做适量的饭菜，避免浪费食堂液化石油气、浪费粮食。食堂按照健康、从简原则提供饮食，优化用餐模式，合理搭配菜品保证膳食平衡；个人就餐时按量取餐，不挑食不暴食，践行光盘行动不浪费。</w:t>
      </w:r>
    </w:p>
    <w:p w14:paraId="195B74F3">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497455" cy="1584960"/>
            <wp:effectExtent l="0" t="0" r="4445" b="2540"/>
            <wp:docPr id="11" name="图片 11" descr="134b277bf50a3979ef91305db660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4b277bf50a3979ef91305db6609d5"/>
                    <pic:cNvPicPr>
                      <a:picLocks noChangeAspect="1"/>
                    </pic:cNvPicPr>
                  </pic:nvPicPr>
                  <pic:blipFill>
                    <a:blip r:embed="rId17"/>
                    <a:stretch>
                      <a:fillRect/>
                    </a:stretch>
                  </pic:blipFill>
                  <pic:spPr>
                    <a:xfrm>
                      <a:off x="0" y="0"/>
                      <a:ext cx="2497455" cy="158496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2615565" cy="1614170"/>
            <wp:effectExtent l="0" t="0" r="635" b="11430"/>
            <wp:docPr id="8" name="图片 8" descr="a6df384fcb8df3ea403b99aedd3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df384fcb8df3ea403b99aedd3b141"/>
                    <pic:cNvPicPr>
                      <a:picLocks noChangeAspect="1"/>
                    </pic:cNvPicPr>
                  </pic:nvPicPr>
                  <pic:blipFill>
                    <a:blip r:embed="rId18"/>
                    <a:stretch>
                      <a:fillRect/>
                    </a:stretch>
                  </pic:blipFill>
                  <pic:spPr>
                    <a:xfrm>
                      <a:off x="0" y="0"/>
                      <a:ext cx="2615565" cy="161417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p>
    <w:p w14:paraId="5F158062">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5134610" cy="2381885"/>
            <wp:effectExtent l="0" t="0" r="8890" b="5715"/>
            <wp:docPr id="18" name="图片 18" descr="c98bf7b454fcc3b7b19031c4b2a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98bf7b454fcc3b7b19031c4b2ae316"/>
                    <pic:cNvPicPr>
                      <a:picLocks noChangeAspect="1"/>
                    </pic:cNvPicPr>
                  </pic:nvPicPr>
                  <pic:blipFill>
                    <a:blip r:embed="rId19"/>
                    <a:stretch>
                      <a:fillRect/>
                    </a:stretch>
                  </pic:blipFill>
                  <pic:spPr>
                    <a:xfrm>
                      <a:off x="0" y="0"/>
                      <a:ext cx="5134610" cy="2381885"/>
                    </a:xfrm>
                    <a:prstGeom prst="rect">
                      <a:avLst/>
                    </a:prstGeom>
                  </pic:spPr>
                </pic:pic>
              </a:graphicData>
            </a:graphic>
          </wp:inline>
        </w:drawing>
      </w:r>
    </w:p>
    <w:p w14:paraId="393C93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color w:val="auto"/>
          <w:sz w:val="32"/>
          <w:szCs w:val="32"/>
          <w:highlight w:val="none"/>
          <w:lang w:val="en-US" w:eastAsia="zh-CN"/>
        </w:rPr>
        <w:t>志愿服务：</w:t>
      </w:r>
      <w:r>
        <w:rPr>
          <w:rFonts w:hint="eastAsia" w:ascii="仿宋" w:hAnsi="仿宋" w:eastAsia="仿宋" w:cs="仿宋"/>
          <w:color w:val="auto"/>
          <w:sz w:val="32"/>
          <w:szCs w:val="32"/>
          <w:highlight w:val="none"/>
        </w:rPr>
        <w:t>本行积极组织员工开展环保宣传志愿活动，提高员工环保意识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本行积极开展志愿者服务工作，组织员工到社区进行卫生清理志愿服务工作，</w:t>
      </w:r>
      <w:r>
        <w:rPr>
          <w:rFonts w:hint="eastAsia" w:ascii="仿宋" w:hAnsi="仿宋" w:eastAsia="仿宋" w:cs="仿宋"/>
          <w:color w:val="auto"/>
          <w:sz w:val="32"/>
          <w:szCs w:val="32"/>
          <w:highlight w:val="none"/>
        </w:rPr>
        <w:t>对路面垃圾、绿化带杂草杂物、乱堆乱放物进行清理，清除墙壁、电线杆上的非法广告、牛皮癣等</w:t>
      </w:r>
      <w:r>
        <w:rPr>
          <w:rFonts w:hint="eastAsia" w:ascii="仿宋" w:hAnsi="仿宋" w:eastAsia="仿宋" w:cs="仿宋"/>
          <w:color w:val="auto"/>
          <w:sz w:val="32"/>
          <w:szCs w:val="32"/>
          <w:highlight w:val="none"/>
          <w:lang w:val="en-US" w:eastAsia="zh-CN"/>
        </w:rPr>
        <w:t>进行清理，</w:t>
      </w:r>
      <w:r>
        <w:rPr>
          <w:rFonts w:hint="eastAsia" w:ascii="仿宋" w:hAnsi="仿宋" w:eastAsia="仿宋" w:cs="仿宋"/>
          <w:color w:val="auto"/>
          <w:sz w:val="32"/>
          <w:szCs w:val="32"/>
          <w:highlight w:val="none"/>
        </w:rPr>
        <w:t>营造整洁干净的卫生环境。</w:t>
      </w:r>
    </w:p>
    <w:p w14:paraId="7C6788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 w:hAnsi="仿宋" w:eastAsia="仿宋" w:cs="仿宋"/>
          <w:i w:val="0"/>
          <w:iCs w:val="0"/>
          <w:caps w:val="0"/>
          <w:color w:val="222222"/>
          <w:spacing w:val="8"/>
          <w:sz w:val="32"/>
          <w:szCs w:val="32"/>
          <w:highlight w:val="none"/>
          <w:lang w:eastAsia="zh-CN"/>
        </w:rPr>
      </w:pPr>
      <w:r>
        <w:rPr>
          <w:rFonts w:hint="eastAsia" w:ascii="仿宋" w:hAnsi="仿宋" w:eastAsia="仿宋" w:cs="仿宋"/>
          <w:b/>
          <w:bCs/>
          <w:sz w:val="32"/>
          <w:szCs w:val="32"/>
          <w:highlight w:val="none"/>
          <w:lang w:val="en-US" w:eastAsia="zh-CN"/>
        </w:rPr>
        <w:t>十</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数据梳理、校验及保护</w:t>
      </w:r>
    </w:p>
    <w:p w14:paraId="4767696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（一）建立归口管理部门，明确职责分工</w:t>
      </w:r>
    </w:p>
    <w:p w14:paraId="6CB06F4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为进一步全面提升数据质量，实现数据的集中管理，推动金融数据统计工作有效开展，</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成立金融数据统计领导小组，组长：董事长，副组长：行长、副行长、首席风险官，成员：风险管理部负责人、市场部负责人、微小团队负责人、综合管理部负责人、审计部负责人、营业部负责人。领导小组下设办公室，办公室设在审计部，归口管理部门为审计部。</w:t>
      </w:r>
    </w:p>
    <w:p w14:paraId="285FF5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（二）落实复核管理要求，加强质量考核</w:t>
      </w:r>
    </w:p>
    <w:p w14:paraId="2F554C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000000"/>
          <w:spacing w:val="8"/>
          <w:sz w:val="32"/>
          <w:szCs w:val="32"/>
          <w:highlight w:val="none"/>
          <w:shd w:val="clear" w:fill="FFFFFF"/>
        </w:rPr>
        <w:t>本行通过建立行内数据治理组织架构，加强与绿色贷款专项统计</w:t>
      </w:r>
      <w:r>
        <w:rPr>
          <w:rFonts w:hint="eastAsia" w:ascii="仿宋" w:hAnsi="仿宋" w:eastAsia="仿宋" w:cs="仿宋"/>
          <w:i w:val="0"/>
          <w:iCs w:val="0"/>
          <w:caps w:val="0"/>
          <w:color w:val="000000"/>
          <w:spacing w:val="8"/>
          <w:sz w:val="32"/>
          <w:szCs w:val="32"/>
          <w:highlight w:val="none"/>
          <w:shd w:val="clear" w:fill="FFFFFF"/>
          <w:lang w:eastAsia="zh-CN"/>
        </w:rPr>
        <w:t>工作</w:t>
      </w:r>
      <w:r>
        <w:rPr>
          <w:rFonts w:hint="eastAsia" w:ascii="仿宋" w:hAnsi="仿宋" w:eastAsia="仿宋" w:cs="仿宋"/>
          <w:i w:val="0"/>
          <w:iCs w:val="0"/>
          <w:caps w:val="0"/>
          <w:color w:val="000000"/>
          <w:spacing w:val="8"/>
          <w:sz w:val="32"/>
          <w:szCs w:val="32"/>
          <w:highlight w:val="none"/>
          <w:shd w:val="clear" w:fill="FFFFFF"/>
        </w:rPr>
        <w:t>，及时</w:t>
      </w:r>
      <w:r>
        <w:rPr>
          <w:rFonts w:hint="eastAsia" w:ascii="仿宋" w:hAnsi="仿宋" w:eastAsia="仿宋" w:cs="仿宋"/>
          <w:i w:val="0"/>
          <w:iCs w:val="0"/>
          <w:caps w:val="0"/>
          <w:color w:val="000000"/>
          <w:spacing w:val="8"/>
          <w:sz w:val="32"/>
          <w:szCs w:val="32"/>
          <w:highlight w:val="none"/>
          <w:shd w:val="clear" w:fill="FFFFFF"/>
          <w:lang w:eastAsia="zh-CN"/>
        </w:rPr>
        <w:t>了解监管机构对</w:t>
      </w:r>
      <w:r>
        <w:rPr>
          <w:rFonts w:hint="eastAsia" w:ascii="仿宋" w:hAnsi="仿宋" w:eastAsia="仿宋" w:cs="仿宋"/>
          <w:i w:val="0"/>
          <w:iCs w:val="0"/>
          <w:caps w:val="0"/>
          <w:color w:val="000000"/>
          <w:spacing w:val="8"/>
          <w:sz w:val="32"/>
          <w:szCs w:val="32"/>
          <w:highlight w:val="none"/>
          <w:shd w:val="clear" w:fill="FFFFFF"/>
        </w:rPr>
        <w:t>绿色贷款分类的指导意见及各项要求，</w:t>
      </w:r>
      <w:r>
        <w:rPr>
          <w:rFonts w:hint="eastAsia" w:ascii="仿宋" w:hAnsi="仿宋" w:eastAsia="仿宋" w:cs="仿宋"/>
          <w:i w:val="0"/>
          <w:iCs w:val="0"/>
          <w:caps w:val="0"/>
          <w:color w:val="000000"/>
          <w:spacing w:val="8"/>
          <w:sz w:val="32"/>
          <w:szCs w:val="32"/>
          <w:highlight w:val="none"/>
          <w:shd w:val="clear" w:fill="FFFFFF"/>
          <w:lang w:eastAsia="zh-CN"/>
        </w:rPr>
        <w:t>不断</w:t>
      </w:r>
      <w:r>
        <w:rPr>
          <w:rFonts w:hint="eastAsia" w:ascii="仿宋" w:hAnsi="仿宋" w:eastAsia="仿宋" w:cs="仿宋"/>
          <w:i w:val="0"/>
          <w:iCs w:val="0"/>
          <w:caps w:val="0"/>
          <w:color w:val="000000"/>
          <w:spacing w:val="8"/>
          <w:sz w:val="32"/>
          <w:szCs w:val="32"/>
          <w:highlight w:val="none"/>
          <w:shd w:val="clear" w:fill="FFFFFF"/>
        </w:rPr>
        <w:t>提升</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绿色贷款数据统计工作质量。</w:t>
      </w:r>
    </w:p>
    <w:p w14:paraId="6FA99C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由审计部正式任命并备案的复核人员对所有待报报表进行复核，对上报数据差错进行确认、登记并要求填报责任部门分析原因并整改，各部门以及各分支机构主要负责人对本单位统计工作负主要责任，对本单位统计数据的真实性负责，每张报表的对外报送都需要建立严格的复核审批机制，经办人、复核人、行长或董事长须对报表签字确认后才能对外报送，编制对外报送报表数据审批表，签字确认的审批表须留档保存，后期检查中重点核实落实情况。</w:t>
      </w:r>
    </w:p>
    <w:p w14:paraId="726EF64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（三）强化数据检查工作，提高报送质量</w:t>
      </w:r>
    </w:p>
    <w:p w14:paraId="3432E9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审计部负责建立覆盖数据统计工作全流程的数据质量监控机制，并督促各业务部门负责对数据实施有效的跟踪监控，发现数据质量问题，反馈到相关责任部门并督促其及时纠正。将发生的差错问题会登记入问题库，按差错的性质、金额大小、差错重复次数等因素进行考核。考核结果纳入违规积分管理，纳入全年绩效考核。</w:t>
      </w:r>
    </w:p>
    <w:p w14:paraId="11C8DE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lang w:eastAsia="zh-CN"/>
        </w:rPr>
      </w:pPr>
      <w:r>
        <w:rPr>
          <w:rFonts w:hint="eastAsia" w:ascii="仿宋" w:hAnsi="仿宋" w:eastAsia="仿宋" w:cs="仿宋"/>
          <w:i w:val="0"/>
          <w:iCs w:val="0"/>
          <w:caps w:val="0"/>
          <w:color w:val="000000"/>
          <w:spacing w:val="8"/>
          <w:sz w:val="32"/>
          <w:szCs w:val="32"/>
          <w:highlight w:val="none"/>
          <w:shd w:val="clear" w:fill="FFFFFF"/>
        </w:rPr>
        <w:t>（四）建立数据信息安全保障制度体系</w:t>
      </w:r>
    </w:p>
    <w:p w14:paraId="1B1A44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实行信息安全“一把手”责任制，董事长为本机构信息安全工作的第一负责人，确保信息安全管理工作持续有序开展。数据管理遵循“谁使用谁负责、谁使用谁销毁”的安全原则。数据持有者和使用者必须在权限范围内合法使用数据，不得泄漏或非授权使用。建立计算机设备的销毁和报废管理流程。对移动计算机、移动处理设备、移动存储介质等移动设备进行安全管理，确保在使用移动设备过程中不会泄漏敏感信息。</w:t>
      </w:r>
    </w:p>
    <w:p w14:paraId="56D8362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委托主发起行上海农商银行参与、监督、指导本行信息科技管理工作，为本行提供信息科技规划、建设、运维、风险管理以及信息科技审计等科技服务。本行不断建立和完善信息安全管理规章制度和操作程序，规范和加强信息安全管理工作。制定了《桂阳沪农商村镇银行信息科技管理办法》《桂阳沪农商村镇银行信息科技风险管理办法》《桂阳沪农商村镇银行信息科技风险评估办法》，成立了由信息科技分管行长、总行各部门负责人组成的信息科技工作领导小组，主要负责协调落实各项资源，确保</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信息安全管理工作有序开展；定期向主发起行反馈本行信息科技工作情况，提出所委托的信息科技服务优化建议。</w:t>
      </w:r>
    </w:p>
    <w:p w14:paraId="7EC24E1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设置了专职科技人员1名，具备专业技能和经验，每年从人员安全管理、机房安全管理、客户端安全、数据安全管理、安全事件管理等方面开展信息科技安全检查。每年进行信息科技风险评估，认清本行信息科技面临的风险环境，并通过采取及时有效的风险处置措施，提高风险防范能力，促进信息系统安全、稳健、持续、高效运行。</w:t>
      </w:r>
    </w:p>
    <w:p w14:paraId="7D291EF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（五）建立应急预案，及时采取应急措施</w:t>
      </w:r>
    </w:p>
    <w:p w14:paraId="285CEF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000000"/>
          <w:spacing w:val="8"/>
          <w:sz w:val="32"/>
          <w:szCs w:val="32"/>
          <w:highlight w:val="none"/>
          <w:shd w:val="clear" w:fill="FFFFFF"/>
        </w:rPr>
        <w:t>由综合管理部牵头，制定本行信息科技突发事件应急预案，并定期组织信息科技应急演练，持续改进预案内容，保证预案的可读性与可操作性。对于发生的数据安全事件，依照事件影响范围及持续时间等因素将信息科技突发事件分为三级，以生产优先为主要目标、以协同配合为主要原则，采取高效的应急措施，尽快恢复对外生产业务开展，保证业务连续性。由专职科技人员监督委托主发起行开展的应急管理工作，并根据主发起行要求做好各项配合工作</w:t>
      </w:r>
      <w:r>
        <w:rPr>
          <w:rFonts w:hint="eastAsia" w:ascii="仿宋" w:hAnsi="仿宋" w:eastAsia="仿宋" w:cs="仿宋"/>
          <w:i w:val="0"/>
          <w:iCs w:val="0"/>
          <w:caps w:val="0"/>
          <w:color w:val="000000"/>
          <w:spacing w:val="8"/>
          <w:sz w:val="32"/>
          <w:szCs w:val="32"/>
          <w:highlight w:val="none"/>
          <w:shd w:val="clear" w:fill="FFFFFF"/>
          <w:lang w:eastAsia="zh-CN"/>
        </w:rPr>
        <w:t>，</w:t>
      </w:r>
      <w:r>
        <w:rPr>
          <w:rFonts w:hint="eastAsia" w:ascii="仿宋" w:hAnsi="仿宋" w:eastAsia="仿宋" w:cs="仿宋"/>
          <w:i w:val="0"/>
          <w:iCs w:val="0"/>
          <w:caps w:val="0"/>
          <w:color w:val="000000"/>
          <w:spacing w:val="8"/>
          <w:sz w:val="32"/>
          <w:szCs w:val="32"/>
          <w:highlight w:val="none"/>
          <w:shd w:val="clear" w:fill="FFFFFF"/>
        </w:rPr>
        <w:t>确保本行数据治理工作稳定有序发展。</w:t>
      </w:r>
    </w:p>
    <w:p w14:paraId="272FAD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十一、绿色金融创新及研究成果</w:t>
      </w:r>
    </w:p>
    <w:p w14:paraId="14AA71E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lang w:eastAsia="zh-CN"/>
        </w:rPr>
        <w:t>年，本行进一步加强移动银行金融功能优化，升级移动银行中超级网银等相关支付结算功能，丰富移动银行板块。金融科技服务创新在为客户提供便捷、高效、绿色金融服务的同时，节约人工成本，提升平台风控能力,有效提高本行业务及服务质量，加强数据驱动业务能力。</w:t>
      </w:r>
    </w:p>
    <w:p w14:paraId="3E8D177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本行打造了以手机银行、网上银行等为主体的多渠道电子银行服务体系，并结合大数据以及风控模型推出线上信贷产品。截止2024年末，线上信贷产品“惠E贷”“</w:t>
      </w:r>
      <w:r>
        <w:rPr>
          <w:rFonts w:hint="eastAsia" w:ascii="仿宋" w:hAnsi="仿宋" w:eastAsia="仿宋" w:cs="仿宋"/>
          <w:sz w:val="32"/>
          <w:szCs w:val="32"/>
          <w:highlight w:val="none"/>
          <w:lang w:val="en-US" w:eastAsia="zh-CN"/>
        </w:rPr>
        <w:t>民兴快贷</w:t>
      </w:r>
      <w:r>
        <w:rPr>
          <w:rFonts w:hint="eastAsia" w:ascii="仿宋" w:hAnsi="仿宋" w:eastAsia="仿宋" w:cs="仿宋"/>
          <w:sz w:val="32"/>
          <w:szCs w:val="32"/>
          <w:highlight w:val="none"/>
          <w:lang w:eastAsia="zh-CN"/>
        </w:rPr>
        <w:t>”授信户数超过</w:t>
      </w:r>
      <w:r>
        <w:rPr>
          <w:rFonts w:hint="eastAsia" w:ascii="仿宋" w:hAnsi="仿宋" w:eastAsia="仿宋" w:cs="仿宋"/>
          <w:sz w:val="32"/>
          <w:szCs w:val="32"/>
          <w:highlight w:val="none"/>
          <w:lang w:val="en-US" w:eastAsia="zh-CN"/>
        </w:rPr>
        <w:t>1086</w:t>
      </w:r>
      <w:r>
        <w:rPr>
          <w:rFonts w:hint="eastAsia" w:ascii="仿宋" w:hAnsi="仿宋" w:eastAsia="仿宋" w:cs="仿宋"/>
          <w:sz w:val="32"/>
          <w:szCs w:val="32"/>
          <w:highlight w:val="none"/>
          <w:lang w:eastAsia="zh-CN"/>
        </w:rPr>
        <w:t>户，授信额度超过</w:t>
      </w:r>
      <w:r>
        <w:rPr>
          <w:rFonts w:hint="eastAsia" w:ascii="仿宋" w:hAnsi="仿宋" w:eastAsia="仿宋" w:cs="仿宋"/>
          <w:sz w:val="32"/>
          <w:szCs w:val="32"/>
          <w:highlight w:val="none"/>
          <w:lang w:val="en-US" w:eastAsia="zh-CN"/>
        </w:rPr>
        <w:t>1200万</w:t>
      </w:r>
      <w:r>
        <w:rPr>
          <w:rFonts w:hint="eastAsia" w:ascii="仿宋" w:hAnsi="仿宋" w:eastAsia="仿宋" w:cs="仿宋"/>
          <w:sz w:val="32"/>
          <w:szCs w:val="32"/>
          <w:highlight w:val="none"/>
          <w:lang w:eastAsia="zh-CN"/>
        </w:rPr>
        <w:t>元，持续推动金融业务绿色低碳高质量发展。</w:t>
      </w:r>
    </w:p>
    <w:tbl>
      <w:tblPr>
        <w:tblStyle w:val="13"/>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512"/>
        <w:gridCol w:w="1704"/>
        <w:gridCol w:w="3250"/>
      </w:tblGrid>
      <w:tr w14:paraId="7A5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5F27062D">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电子银行类型</w:t>
            </w:r>
          </w:p>
        </w:tc>
        <w:tc>
          <w:tcPr>
            <w:tcW w:w="1512" w:type="dxa"/>
          </w:tcPr>
          <w:p w14:paraId="1617DDB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笔数（笔）</w:t>
            </w:r>
          </w:p>
        </w:tc>
        <w:tc>
          <w:tcPr>
            <w:tcW w:w="1704" w:type="dxa"/>
          </w:tcPr>
          <w:p w14:paraId="28FEE23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金额（万元）</w:t>
            </w:r>
          </w:p>
        </w:tc>
        <w:tc>
          <w:tcPr>
            <w:tcW w:w="3250" w:type="dxa"/>
          </w:tcPr>
          <w:p w14:paraId="030F0F2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可受理业务</w:t>
            </w:r>
          </w:p>
        </w:tc>
      </w:tr>
      <w:tr w14:paraId="76E6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4228551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手机银行</w:t>
            </w:r>
          </w:p>
        </w:tc>
        <w:tc>
          <w:tcPr>
            <w:tcW w:w="1512" w:type="dxa"/>
            <w:vAlign w:val="top"/>
          </w:tcPr>
          <w:p w14:paraId="5078292E">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448124</w:t>
            </w:r>
          </w:p>
        </w:tc>
        <w:tc>
          <w:tcPr>
            <w:tcW w:w="1704" w:type="dxa"/>
            <w:vAlign w:val="top"/>
          </w:tcPr>
          <w:p w14:paraId="6DFEC73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102311.51</w:t>
            </w:r>
          </w:p>
        </w:tc>
        <w:tc>
          <w:tcPr>
            <w:tcW w:w="3250" w:type="dxa"/>
          </w:tcPr>
          <w:p w14:paraId="0F65FDF7">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查询、转账支付</w:t>
            </w:r>
          </w:p>
        </w:tc>
      </w:tr>
      <w:tr w14:paraId="209E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265D4910">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网上银行</w:t>
            </w:r>
          </w:p>
        </w:tc>
        <w:tc>
          <w:tcPr>
            <w:tcW w:w="1512" w:type="dxa"/>
            <w:vAlign w:val="top"/>
          </w:tcPr>
          <w:p w14:paraId="2D0BD9C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46486</w:t>
            </w:r>
          </w:p>
        </w:tc>
        <w:tc>
          <w:tcPr>
            <w:tcW w:w="1704" w:type="dxa"/>
            <w:vAlign w:val="top"/>
          </w:tcPr>
          <w:p w14:paraId="798E0C26">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120521.32</w:t>
            </w:r>
          </w:p>
        </w:tc>
        <w:tc>
          <w:tcPr>
            <w:tcW w:w="3250" w:type="dxa"/>
          </w:tcPr>
          <w:p w14:paraId="60741F7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查询、转账支付</w:t>
            </w:r>
          </w:p>
        </w:tc>
      </w:tr>
      <w:tr w14:paraId="5AB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0FA3AC65">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ATM、CDM</w:t>
            </w:r>
          </w:p>
        </w:tc>
        <w:tc>
          <w:tcPr>
            <w:tcW w:w="1512" w:type="dxa"/>
            <w:vAlign w:val="top"/>
          </w:tcPr>
          <w:p w14:paraId="1F6AB97C">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118432</w:t>
            </w:r>
          </w:p>
        </w:tc>
        <w:tc>
          <w:tcPr>
            <w:tcW w:w="1704" w:type="dxa"/>
            <w:vAlign w:val="top"/>
          </w:tcPr>
          <w:p w14:paraId="1997C512">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11007.29</w:t>
            </w:r>
          </w:p>
        </w:tc>
        <w:tc>
          <w:tcPr>
            <w:tcW w:w="3250" w:type="dxa"/>
          </w:tcPr>
          <w:p w14:paraId="0FB41BB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查询、存款、转账支付</w:t>
            </w:r>
          </w:p>
        </w:tc>
      </w:tr>
    </w:tbl>
    <w:p w14:paraId="65067706">
      <w:pPr>
        <w:pStyle w:val="6"/>
        <w:keepNext w:val="0"/>
        <w:keepLines w:val="0"/>
        <w:pageBreakBefore w:val="0"/>
        <w:kinsoku/>
        <w:wordWrap/>
        <w:overflowPunct/>
        <w:topLinePunct w:val="0"/>
        <w:autoSpaceDE/>
        <w:autoSpaceDN/>
        <w:bidi w:val="0"/>
        <w:adjustRightInd/>
        <w:snapToGrid/>
        <w:spacing w:line="600" w:lineRule="exact"/>
        <w:ind w:firstLine="675" w:firstLineChars="200"/>
        <w:textAlignment w:val="auto"/>
        <w:rPr>
          <w:rStyle w:val="15"/>
          <w:rFonts w:hint="eastAsia" w:ascii="仿宋" w:hAnsi="仿宋" w:eastAsia="仿宋" w:cs="仿宋"/>
          <w:b/>
          <w:bCs/>
          <w:i w:val="0"/>
          <w:iCs w:val="0"/>
          <w:caps w:val="0"/>
          <w:color w:val="000000"/>
          <w:spacing w:val="8"/>
          <w:sz w:val="32"/>
          <w:szCs w:val="32"/>
          <w:highlight w:val="none"/>
          <w:shd w:val="clear" w:fill="FFFFFF"/>
        </w:rPr>
      </w:pPr>
      <w:r>
        <w:rPr>
          <w:rStyle w:val="15"/>
          <w:rFonts w:hint="eastAsia" w:ascii="仿宋" w:hAnsi="仿宋" w:eastAsia="仿宋" w:cs="仿宋"/>
          <w:b/>
          <w:bCs/>
          <w:i w:val="0"/>
          <w:iCs w:val="0"/>
          <w:caps w:val="0"/>
          <w:color w:val="000000"/>
          <w:spacing w:val="8"/>
          <w:sz w:val="32"/>
          <w:szCs w:val="32"/>
          <w:highlight w:val="none"/>
          <w:shd w:val="clear" w:fill="FFFFFF"/>
        </w:rPr>
        <w:t>（一）树立绿色银行形象，落实可持续发展理念</w:t>
      </w:r>
    </w:p>
    <w:p w14:paraId="094DC3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highlight w:val="none"/>
          <w:lang w:eastAsia="zh-CN"/>
        </w:rPr>
        <w:t>一是将绿色发展理念深植企业经营管理。提升日常工作中的绿色环保意识，践行绿色金融理念，深入开展绿色信贷业务。强化环境和社会风险管理并形成绿色经营文化。推广倡导绿色生产、绿色消费、绿色生活方式。二是将生态环保意识深入员工心中。做绿色办公的先行者、绿色生活的倡导者、绿色金融的实践者。</w:t>
      </w:r>
    </w:p>
    <w:p w14:paraId="558725CE">
      <w:pPr>
        <w:keepNext w:val="0"/>
        <w:keepLines w:val="0"/>
        <w:pageBreakBefore w:val="0"/>
        <w:kinsoku/>
        <w:wordWrap/>
        <w:overflowPunct/>
        <w:topLinePunct w:val="0"/>
        <w:autoSpaceDE/>
        <w:autoSpaceDN/>
        <w:bidi w:val="0"/>
        <w:adjustRightInd/>
        <w:snapToGrid/>
        <w:spacing w:line="600" w:lineRule="exact"/>
        <w:textAlignment w:val="auto"/>
        <w:rPr>
          <w:rStyle w:val="15"/>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b w:val="0"/>
          <w:bCs w:val="0"/>
          <w:i w:val="0"/>
          <w:iCs w:val="0"/>
          <w:caps w:val="0"/>
          <w:color w:val="000000"/>
          <w:spacing w:val="8"/>
          <w:sz w:val="32"/>
          <w:szCs w:val="32"/>
          <w:highlight w:val="none"/>
          <w:shd w:val="clear" w:fill="FFFFFF"/>
        </w:rPr>
        <w:t xml:space="preserve">  </w:t>
      </w:r>
      <w:r>
        <w:rPr>
          <w:rFonts w:hint="eastAsia" w:ascii="仿宋" w:hAnsi="仿宋" w:eastAsia="仿宋" w:cs="仿宋"/>
          <w:b w:val="0"/>
          <w:bCs w:val="0"/>
          <w:i w:val="0"/>
          <w:iCs w:val="0"/>
          <w:caps w:val="0"/>
          <w:color w:val="000000"/>
          <w:spacing w:val="8"/>
          <w:sz w:val="32"/>
          <w:szCs w:val="32"/>
          <w:highlight w:val="none"/>
          <w:shd w:val="clear" w:fill="FFFFFF"/>
          <w:lang w:val="en-US" w:eastAsia="zh-CN"/>
        </w:rPr>
        <w:t xml:space="preserve">  </w:t>
      </w:r>
      <w:r>
        <w:rPr>
          <w:rFonts w:hint="eastAsia" w:ascii="仿宋" w:hAnsi="仿宋" w:eastAsia="仿宋" w:cs="仿宋"/>
          <w:b w:val="0"/>
          <w:bCs w:val="0"/>
          <w:i w:val="0"/>
          <w:iCs w:val="0"/>
          <w:caps w:val="0"/>
          <w:color w:val="000000"/>
          <w:spacing w:val="8"/>
          <w:sz w:val="32"/>
          <w:szCs w:val="32"/>
          <w:highlight w:val="none"/>
          <w:shd w:val="clear" w:fill="FFFFFF"/>
        </w:rPr>
        <w:t> </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b/>
          <w:bCs/>
          <w:i w:val="0"/>
          <w:iCs w:val="0"/>
          <w:caps w:val="0"/>
          <w:color w:val="000000"/>
          <w:spacing w:val="8"/>
          <w:sz w:val="32"/>
          <w:szCs w:val="32"/>
          <w:highlight w:val="none"/>
          <w:shd w:val="clear" w:fill="FFFFFF"/>
          <w:lang w:eastAsia="zh-CN"/>
        </w:rPr>
        <w:t>二</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i w:val="0"/>
          <w:iCs w:val="0"/>
          <w:caps w:val="0"/>
          <w:color w:val="000000"/>
          <w:spacing w:val="8"/>
          <w:sz w:val="32"/>
          <w:szCs w:val="32"/>
          <w:highlight w:val="none"/>
          <w:shd w:val="clear" w:fill="FFFFFF"/>
        </w:rPr>
        <w:t>创新产品与服务</w:t>
      </w:r>
    </w:p>
    <w:p w14:paraId="6A11FED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一是开展一站式绿色金融服务：设立绿色金融服务专柜，配备专业的绿色信贷经理。从贷款咨询、项目评估、手续办理到贷后管理，为客户提供全程一对一服务。针对从事生态循环农业的农户与企业，比如开展“种—养—加”一体化生态模式的主体。贷款额度依据其经营规模、循环体系成熟度评估，范围在5-100万元。还款方式灵活，可按农产品收获周期制定阶段性还款计划，适应农业生产节奏同时，整合银行内部资源。</w:t>
      </w:r>
    </w:p>
    <w:p w14:paraId="43DF96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二是开通绿色贷款快速通道：对于符合绿色贷款标准的项目，简化审批流程。建立绿色贷款优先审批机制，在资料齐全的情况下，确保贷款审批时间缩短至3个工作日，提高资金投放效率，满足绿色项目的时效性需求。</w:t>
      </w:r>
    </w:p>
    <w:p w14:paraId="3C34D8E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三是积极普及绿色金融知识：定期组织绿色金融知识下乡活动，通过举办讲座、发放宣传资料、实地案例讲解等形式，向农户、农村企业普及绿色金融理念、绿色贷款政策和产品知识，提升农村地区对绿色金融的认知度和参与度。 </w:t>
      </w:r>
    </w:p>
    <w:p w14:paraId="0CEBB904">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bCs/>
          <w:sz w:val="32"/>
          <w:szCs w:val="32"/>
          <w:highlight w:val="none"/>
          <w:lang w:val="en-US" w:eastAsia="zh-CN"/>
        </w:rPr>
        <w:t>十二、绿色金融宣传情况</w:t>
      </w:r>
    </w:p>
    <w:p w14:paraId="1CD3C63D">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eastAsia="zh-CN"/>
        </w:rPr>
      </w:pP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借助多种业务宣传渠道：一是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通过LE</w:t>
      </w:r>
      <w:r>
        <w:rPr>
          <w:rFonts w:hint="eastAsia" w:ascii="仿宋" w:hAnsi="仿宋" w:eastAsia="仿宋" w:cs="仿宋"/>
          <w:bCs/>
          <w:color w:val="000000"/>
          <w:sz w:val="32"/>
          <w:szCs w:val="32"/>
          <w:highlight w:val="none"/>
          <w:lang w:val="en-US" w:eastAsia="zh-CN"/>
        </w:rPr>
        <w:t>D</w:t>
      </w:r>
      <w:r>
        <w:rPr>
          <w:rFonts w:hint="eastAsia" w:ascii="仿宋" w:hAnsi="仿宋" w:eastAsia="仿宋" w:cs="仿宋"/>
          <w:bCs/>
          <w:color w:val="000000"/>
          <w:sz w:val="32"/>
          <w:szCs w:val="32"/>
          <w:highlight w:val="none"/>
        </w:rPr>
        <w:t>电子屏滚动播放宣传标语，由各网点指派业务经验丰富、沟通能力强的业务骨干担任“绿色宣传员”，积极主动地为前来网点办业务的客户发放宣传折页，普及绿色金融知识。</w:t>
      </w:r>
    </w:p>
    <w:p w14:paraId="0AE102DE">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二是本行宣传人员通过走访商户、企业了解其经营发展现状及需求，为他们的金融问题排忧解难，着力解决其信贷需求，不断提升服务效能，并全方位、多形式介绍绿色金融政策，引导人们践行绿色低碳生活方式，为桂阳县绿色金融发展发挥积极作用。</w:t>
      </w:r>
    </w:p>
    <w:p w14:paraId="25474AFA">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rPr>
      </w:pPr>
      <w:r>
        <w:rPr>
          <w:rFonts w:hint="eastAsia" w:ascii="仿宋" w:hAnsi="仿宋" w:eastAsia="仿宋" w:cs="仿宋"/>
          <w:bCs/>
          <w:color w:val="000000"/>
          <w:sz w:val="32"/>
          <w:szCs w:val="32"/>
          <w:highlight w:val="none"/>
          <w:lang w:val="en-US" w:eastAsia="zh-CN"/>
        </w:rPr>
        <w:t>三是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根据当地社会与客户特点，开展“金融知识下乡”“</w:t>
      </w:r>
      <w:r>
        <w:rPr>
          <w:rFonts w:hint="eastAsia" w:ascii="仿宋" w:hAnsi="仿宋" w:eastAsia="仿宋" w:cs="仿宋"/>
          <w:bCs/>
          <w:color w:val="000000"/>
          <w:sz w:val="32"/>
          <w:szCs w:val="32"/>
          <w:highlight w:val="none"/>
          <w:lang w:eastAsia="zh-CN"/>
        </w:rPr>
        <w:t>普惠金融银企座谈会</w:t>
      </w:r>
      <w:r>
        <w:rPr>
          <w:rFonts w:hint="eastAsia" w:ascii="仿宋" w:hAnsi="仿宋" w:eastAsia="仿宋" w:cs="仿宋"/>
          <w:bCs/>
          <w:color w:val="000000"/>
          <w:sz w:val="32"/>
          <w:szCs w:val="32"/>
          <w:highlight w:val="none"/>
        </w:rPr>
        <w:t>”等多种</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宣传活动，通过系列措施向广大客户普及</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w:t>
      </w:r>
      <w:r>
        <w:rPr>
          <w:rFonts w:hint="eastAsia" w:ascii="仿宋" w:hAnsi="仿宋" w:eastAsia="仿宋" w:cs="仿宋"/>
          <w:bCs/>
          <w:color w:val="000000"/>
          <w:sz w:val="32"/>
          <w:szCs w:val="32"/>
          <w:highlight w:val="none"/>
          <w:lang w:val="en-US" w:eastAsia="zh-CN"/>
        </w:rPr>
        <w:t>知识，介绍“玉竹贷”“光伏贷”等绿色信贷产品</w:t>
      </w:r>
      <w:r>
        <w:rPr>
          <w:rFonts w:hint="eastAsia" w:ascii="仿宋" w:hAnsi="仿宋" w:eastAsia="仿宋" w:cs="仿宋"/>
          <w:bCs/>
          <w:color w:val="000000"/>
          <w:sz w:val="32"/>
          <w:szCs w:val="32"/>
          <w:highlight w:val="none"/>
        </w:rPr>
        <w:t>。</w:t>
      </w:r>
      <w:r>
        <w:rPr>
          <w:rFonts w:hint="eastAsia" w:ascii="仿宋" w:hAnsi="仿宋" w:eastAsia="仿宋" w:cs="仿宋"/>
          <w:bCs/>
          <w:color w:val="000000"/>
          <w:sz w:val="32"/>
          <w:szCs w:val="32"/>
          <w:highlight w:val="none"/>
          <w:lang w:eastAsia="zh-CN"/>
        </w:rPr>
        <w:t>202</w:t>
      </w:r>
      <w:r>
        <w:rPr>
          <w:rFonts w:hint="eastAsia" w:ascii="仿宋" w:hAnsi="仿宋" w:eastAsia="仿宋" w:cs="仿宋"/>
          <w:bCs/>
          <w:color w:val="000000"/>
          <w:sz w:val="32"/>
          <w:szCs w:val="32"/>
          <w:highlight w:val="none"/>
          <w:lang w:val="en-US" w:eastAsia="zh-CN"/>
        </w:rPr>
        <w:t>4</w:t>
      </w:r>
      <w:r>
        <w:rPr>
          <w:rFonts w:hint="eastAsia" w:ascii="仿宋" w:hAnsi="仿宋" w:eastAsia="仿宋" w:cs="仿宋"/>
          <w:bCs/>
          <w:color w:val="000000"/>
          <w:sz w:val="32"/>
          <w:szCs w:val="32"/>
          <w:highlight w:val="none"/>
        </w:rPr>
        <w:t>年共开展</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金融宣传活动</w:t>
      </w:r>
      <w:r>
        <w:rPr>
          <w:rFonts w:hint="eastAsia" w:ascii="仿宋" w:hAnsi="仿宋" w:eastAsia="仿宋" w:cs="仿宋"/>
          <w:bCs/>
          <w:color w:val="000000"/>
          <w:sz w:val="32"/>
          <w:szCs w:val="32"/>
          <w:highlight w:val="none"/>
          <w:lang w:val="en-US" w:eastAsia="zh-CN"/>
        </w:rPr>
        <w:t>50</w:t>
      </w:r>
      <w:r>
        <w:rPr>
          <w:rFonts w:hint="eastAsia" w:ascii="仿宋" w:hAnsi="仿宋" w:eastAsia="仿宋" w:cs="仿宋"/>
          <w:bCs/>
          <w:color w:val="000000"/>
          <w:sz w:val="32"/>
          <w:szCs w:val="32"/>
          <w:highlight w:val="none"/>
        </w:rPr>
        <w:t>余次，宣传受众面达</w:t>
      </w:r>
      <w:r>
        <w:rPr>
          <w:rFonts w:hint="eastAsia" w:ascii="仿宋" w:hAnsi="仿宋" w:eastAsia="仿宋" w:cs="仿宋"/>
          <w:bCs/>
          <w:color w:val="000000"/>
          <w:sz w:val="32"/>
          <w:szCs w:val="32"/>
          <w:highlight w:val="none"/>
          <w:lang w:val="en-US" w:eastAsia="zh-CN"/>
        </w:rPr>
        <w:t>7000</w:t>
      </w:r>
      <w:r>
        <w:rPr>
          <w:rFonts w:hint="eastAsia" w:ascii="仿宋" w:hAnsi="仿宋" w:eastAsia="仿宋" w:cs="仿宋"/>
          <w:bCs/>
          <w:color w:val="000000"/>
          <w:sz w:val="32"/>
          <w:szCs w:val="32"/>
          <w:highlight w:val="none"/>
        </w:rPr>
        <w:t>余人</w:t>
      </w:r>
      <w:r>
        <w:rPr>
          <w:rFonts w:hint="eastAsia" w:ascii="仿宋" w:hAnsi="仿宋" w:eastAsia="仿宋" w:cs="仿宋"/>
          <w:bCs/>
          <w:color w:val="000000"/>
          <w:sz w:val="32"/>
          <w:szCs w:val="32"/>
          <w:highlight w:val="none"/>
          <w:lang w:eastAsia="zh-CN"/>
        </w:rPr>
        <w:t>，</w:t>
      </w:r>
      <w:r>
        <w:rPr>
          <w:rFonts w:hint="eastAsia" w:ascii="仿宋" w:hAnsi="仿宋" w:eastAsia="仿宋" w:cs="仿宋"/>
          <w:sz w:val="32"/>
          <w:szCs w:val="32"/>
          <w:highlight w:val="none"/>
        </w:rPr>
        <w:t>有力</w:t>
      </w:r>
      <w:r>
        <w:rPr>
          <w:rFonts w:hint="eastAsia" w:ascii="仿宋" w:hAnsi="仿宋" w:eastAsia="仿宋" w:cs="仿宋"/>
          <w:bCs/>
          <w:color w:val="000000"/>
          <w:sz w:val="32"/>
          <w:szCs w:val="32"/>
          <w:highlight w:val="none"/>
        </w:rPr>
        <w:t>提升了</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的社会影响力。</w:t>
      </w:r>
    </w:p>
    <w:p w14:paraId="57059E68">
      <w:pPr>
        <w:keepNext w:val="0"/>
        <w:keepLines w:val="0"/>
        <w:pageBreakBefore w:val="0"/>
        <w:widowControl/>
        <w:shd w:val="clear" w:color="auto" w:fill="FFFFFF"/>
        <w:kinsoku/>
        <w:wordWrap/>
        <w:overflowPunct/>
        <w:topLinePunct w:val="0"/>
        <w:autoSpaceDE/>
        <w:autoSpaceDN/>
        <w:bidi w:val="0"/>
        <w:adjustRightInd/>
        <w:snapToGrid/>
        <w:spacing w:line="240" w:lineRule="atLeast"/>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 xml:space="preserve">       </w:t>
      </w:r>
      <w:r>
        <w:rPr>
          <w:rFonts w:hint="eastAsia" w:ascii="仿宋" w:hAnsi="仿宋" w:eastAsia="仿宋" w:cs="仿宋"/>
          <w:bCs/>
          <w:color w:val="000000"/>
          <w:sz w:val="32"/>
          <w:szCs w:val="32"/>
          <w:highlight w:val="none"/>
          <w:lang w:val="en-US" w:eastAsia="zh-CN"/>
        </w:rPr>
        <w:drawing>
          <wp:inline distT="0" distB="0" distL="114300" distR="114300">
            <wp:extent cx="4057650" cy="2489200"/>
            <wp:effectExtent l="0" t="0" r="6350" b="0"/>
            <wp:docPr id="21" name="图片 21" descr="38ac7417f8037b5c4584736d94e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8ac7417f8037b5c4584736d94e3032"/>
                    <pic:cNvPicPr>
                      <a:picLocks noChangeAspect="1"/>
                    </pic:cNvPicPr>
                  </pic:nvPicPr>
                  <pic:blipFill>
                    <a:blip r:embed="rId20"/>
                    <a:srcRect t="21206"/>
                    <a:stretch>
                      <a:fillRect/>
                    </a:stretch>
                  </pic:blipFill>
                  <pic:spPr>
                    <a:xfrm>
                      <a:off x="0" y="0"/>
                      <a:ext cx="4057650" cy="2489200"/>
                    </a:xfrm>
                    <a:prstGeom prst="rect">
                      <a:avLst/>
                    </a:prstGeom>
                  </pic:spPr>
                </pic:pic>
              </a:graphicData>
            </a:graphic>
          </wp:inline>
        </w:drawing>
      </w:r>
    </w:p>
    <w:p w14:paraId="64AC78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十三、绿色金融未来展望</w:t>
      </w:r>
    </w:p>
    <w:p w14:paraId="66CB70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习近平总书记在中央农村工作会议上讲道：产业振兴是乡村振兴的重中之重，要落实产业帮扶政策，做好“土特产”文章，依托农业农村特色资源，向开发农业多种功能、挖掘乡村多元价值要效益，向一二三产业融合发展要效益，强龙头、补链条、兴业态、树品牌，推动乡村产业全链条升级，增强市场竞争力和可持续发展能力。本行紧密团结在以习近平同志为核心的党中央周围，坚定信心、踔厉奋发、埋头苦干，全面推进乡村振兴，加快建设农业强国，从以下方面落实好绿色金融工作：</w:t>
      </w:r>
    </w:p>
    <w:p w14:paraId="0FE7D5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一是</w:t>
      </w:r>
      <w:r>
        <w:rPr>
          <w:rFonts w:hint="eastAsia" w:ascii="仿宋" w:hAnsi="仿宋" w:eastAsia="仿宋" w:cs="仿宋"/>
          <w:sz w:val="32"/>
          <w:szCs w:val="32"/>
          <w:highlight w:val="none"/>
        </w:rPr>
        <w:t>做好绿色金融设计和规划，</w:t>
      </w:r>
      <w:r>
        <w:rPr>
          <w:rFonts w:hint="eastAsia" w:ascii="仿宋" w:hAnsi="仿宋" w:eastAsia="仿宋" w:cs="仿宋"/>
          <w:sz w:val="32"/>
          <w:szCs w:val="32"/>
          <w:highlight w:val="none"/>
          <w:lang w:val="en-US" w:eastAsia="zh-CN"/>
        </w:rPr>
        <w:t>将绿色金融工作纳入本行未来三年</w:t>
      </w:r>
      <w:r>
        <w:rPr>
          <w:rFonts w:hint="eastAsia" w:ascii="仿宋" w:hAnsi="仿宋" w:eastAsia="仿宋" w:cs="仿宋"/>
          <w:sz w:val="32"/>
          <w:szCs w:val="32"/>
          <w:highlight w:val="none"/>
        </w:rPr>
        <w:t>发展方向与战略规划</w:t>
      </w:r>
      <w:r>
        <w:rPr>
          <w:rFonts w:hint="eastAsia" w:ascii="仿宋" w:hAnsi="仿宋" w:eastAsia="仿宋" w:cs="仿宋"/>
          <w:sz w:val="32"/>
          <w:szCs w:val="32"/>
          <w:highlight w:val="none"/>
          <w:lang w:val="en-US" w:eastAsia="zh-CN"/>
        </w:rPr>
        <w:t>之中，</w:t>
      </w:r>
      <w:r>
        <w:rPr>
          <w:rFonts w:hint="eastAsia" w:ascii="仿宋" w:hAnsi="仿宋" w:eastAsia="仿宋" w:cs="仿宋"/>
          <w:sz w:val="32"/>
          <w:szCs w:val="32"/>
          <w:highlight w:val="none"/>
        </w:rPr>
        <w:t>主动探索新的绿色低碳发展道路具有重大意义。这是做好“六稳”工作、落实“六保”任务的有效途径</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也是</w:t>
      </w:r>
      <w:r>
        <w:rPr>
          <w:rFonts w:hint="eastAsia" w:ascii="仿宋" w:hAnsi="仿宋" w:eastAsia="仿宋" w:cs="仿宋"/>
          <w:sz w:val="32"/>
          <w:szCs w:val="32"/>
          <w:highlight w:val="none"/>
        </w:rPr>
        <w:t>提高</w:t>
      </w:r>
      <w:r>
        <w:rPr>
          <w:rFonts w:hint="eastAsia" w:ascii="仿宋" w:hAnsi="仿宋" w:eastAsia="仿宋" w:cs="仿宋"/>
          <w:sz w:val="32"/>
          <w:szCs w:val="32"/>
          <w:highlight w:val="none"/>
          <w:lang w:val="en-US" w:eastAsia="zh-CN"/>
        </w:rPr>
        <w:t>本行</w:t>
      </w:r>
      <w:r>
        <w:rPr>
          <w:rFonts w:hint="eastAsia" w:ascii="仿宋" w:hAnsi="仿宋" w:eastAsia="仿宋" w:cs="仿宋"/>
          <w:sz w:val="32"/>
          <w:szCs w:val="32"/>
          <w:highlight w:val="none"/>
        </w:rPr>
        <w:t>自身适应性、竞争力和普惠性的必然选择</w:t>
      </w:r>
      <w:r>
        <w:rPr>
          <w:rFonts w:hint="eastAsia" w:ascii="仿宋" w:hAnsi="仿宋" w:eastAsia="仿宋" w:cs="仿宋"/>
          <w:sz w:val="32"/>
          <w:szCs w:val="32"/>
          <w:highlight w:val="none"/>
          <w:lang w:eastAsia="zh-CN"/>
        </w:rPr>
        <w:t>，要</w:t>
      </w:r>
      <w:r>
        <w:rPr>
          <w:rFonts w:hint="eastAsia" w:ascii="仿宋" w:hAnsi="仿宋" w:eastAsia="仿宋" w:cs="仿宋"/>
          <w:sz w:val="32"/>
          <w:szCs w:val="32"/>
          <w:highlight w:val="none"/>
        </w:rPr>
        <w:t>从战略定位上</w:t>
      </w:r>
      <w:r>
        <w:rPr>
          <w:rFonts w:hint="eastAsia" w:ascii="仿宋" w:hAnsi="仿宋" w:eastAsia="仿宋" w:cs="仿宋"/>
          <w:sz w:val="32"/>
          <w:szCs w:val="32"/>
          <w:highlight w:val="none"/>
          <w:lang w:val="en-US" w:eastAsia="zh-CN"/>
        </w:rPr>
        <w:t>进行</w:t>
      </w:r>
      <w:r>
        <w:rPr>
          <w:rFonts w:hint="eastAsia" w:ascii="仿宋" w:hAnsi="仿宋" w:eastAsia="仿宋" w:cs="仿宋"/>
          <w:sz w:val="32"/>
          <w:szCs w:val="32"/>
          <w:highlight w:val="none"/>
        </w:rPr>
        <w:t>总体规划</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践行绿色金融</w:t>
      </w:r>
      <w:r>
        <w:rPr>
          <w:rFonts w:hint="eastAsia" w:ascii="仿宋" w:hAnsi="仿宋" w:eastAsia="仿宋" w:cs="仿宋"/>
          <w:sz w:val="32"/>
          <w:szCs w:val="32"/>
          <w:highlight w:val="none"/>
          <w:lang w:eastAsia="zh-CN"/>
        </w:rPr>
        <w:t>。</w:t>
      </w:r>
    </w:p>
    <w:p w14:paraId="1E6E23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二是</w:t>
      </w:r>
      <w:r>
        <w:rPr>
          <w:rFonts w:hint="eastAsia" w:ascii="仿宋" w:hAnsi="仿宋" w:eastAsia="仿宋" w:cs="仿宋"/>
          <w:sz w:val="32"/>
          <w:szCs w:val="32"/>
          <w:highlight w:val="none"/>
        </w:rPr>
        <w:t>稳步扩大绿色信贷规模。将绿色金融工作纳入年度工作重点,单列专项信贷计划,加大对绿色低碳领域的首贷、信用贷、无还本续贷的支持力度。</w:t>
      </w:r>
    </w:p>
    <w:p w14:paraId="18F6A3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三是</w:t>
      </w:r>
      <w:r>
        <w:rPr>
          <w:rFonts w:hint="eastAsia" w:ascii="仿宋" w:hAnsi="仿宋" w:eastAsia="仿宋" w:cs="仿宋"/>
          <w:sz w:val="32"/>
          <w:szCs w:val="32"/>
          <w:highlight w:val="none"/>
        </w:rPr>
        <w:t>突出绿色信贷支持重点。以清洁能源、节能环保和碳减排技术为支持重点</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做好金融支持绿色低碳高质量发展工作，是新时期新阶段党中央、国务院赋予金融</w:t>
      </w:r>
      <w:r>
        <w:rPr>
          <w:rFonts w:hint="eastAsia" w:ascii="仿宋" w:hAnsi="仿宋" w:eastAsia="仿宋" w:cs="仿宋"/>
          <w:sz w:val="32"/>
          <w:szCs w:val="32"/>
          <w:highlight w:val="none"/>
          <w:lang w:val="en-US" w:eastAsia="zh-CN"/>
        </w:rPr>
        <w:t>机构</w:t>
      </w:r>
      <w:r>
        <w:rPr>
          <w:rFonts w:hint="eastAsia" w:ascii="仿宋" w:hAnsi="仿宋" w:eastAsia="仿宋" w:cs="仿宋"/>
          <w:sz w:val="32"/>
          <w:szCs w:val="32"/>
          <w:highlight w:val="none"/>
        </w:rPr>
        <w:t>的光荣使命和重要任务。</w:t>
      </w:r>
    </w:p>
    <w:p w14:paraId="77F655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四是</w:t>
      </w:r>
      <w:r>
        <w:rPr>
          <w:rFonts w:hint="eastAsia" w:ascii="仿宋" w:hAnsi="仿宋" w:eastAsia="仿宋" w:cs="仿宋"/>
          <w:sz w:val="32"/>
          <w:szCs w:val="32"/>
          <w:highlight w:val="none"/>
        </w:rPr>
        <w:t>制定绿色金融科技发展规划，加大对绿色金融科技的资源投入。制定金融科技推动绿色金融发展战略、重点任务以及保障措施</w:t>
      </w:r>
      <w:r>
        <w:rPr>
          <w:rFonts w:hint="eastAsia" w:ascii="仿宋" w:hAnsi="仿宋" w:eastAsia="仿宋" w:cs="仿宋"/>
          <w:sz w:val="32"/>
          <w:szCs w:val="32"/>
          <w:highlight w:val="none"/>
          <w:lang w:eastAsia="zh-CN"/>
        </w:rPr>
        <w:t>。</w:t>
      </w:r>
    </w:p>
    <w:p w14:paraId="26AF78A4">
      <w:pPr>
        <w:keepNext w:val="0"/>
        <w:keepLines w:val="0"/>
        <w:pageBreakBefore w:val="0"/>
        <w:numPr>
          <w:ilvl w:val="0"/>
          <w:numId w:val="0"/>
        </w:numPr>
        <w:kinsoku/>
        <w:wordWrap/>
        <w:overflowPunct/>
        <w:topLinePunct w:val="0"/>
        <w:autoSpaceDE/>
        <w:autoSpaceDN/>
        <w:bidi w:val="0"/>
        <w:snapToGrid/>
        <w:spacing w:line="600" w:lineRule="exact"/>
        <w:ind w:firstLine="64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五是</w:t>
      </w:r>
      <w:r>
        <w:rPr>
          <w:rFonts w:hint="eastAsia" w:ascii="仿宋" w:hAnsi="仿宋" w:eastAsia="仿宋" w:cs="仿宋"/>
          <w:sz w:val="32"/>
          <w:szCs w:val="32"/>
          <w:highlight w:val="none"/>
        </w:rPr>
        <w:t>加强绿色金融人才培养,建立相应的体制机制、人才队伍、技术储备</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不断提高绿色金融服务能力。</w:t>
      </w:r>
    </w:p>
    <w:p w14:paraId="508774A1">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p>
    <w:p w14:paraId="6A45F9DC">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读者反馈</w:t>
      </w:r>
    </w:p>
    <w:p w14:paraId="6F4A49DF">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sz w:val="24"/>
          <w:highlight w:val="none"/>
        </w:rPr>
      </w:pPr>
    </w:p>
    <w:p w14:paraId="332248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感谢您阅读《</w:t>
      </w:r>
      <w:r>
        <w:rPr>
          <w:rFonts w:hint="eastAsia" w:ascii="仿宋" w:hAnsi="仿宋" w:eastAsia="仿宋" w:cs="仿宋"/>
          <w:sz w:val="24"/>
          <w:szCs w:val="24"/>
          <w:highlight w:val="none"/>
          <w:lang w:val="en-US" w:eastAsia="zh-CN"/>
        </w:rPr>
        <w:t>桂阳沪</w:t>
      </w:r>
      <w:r>
        <w:rPr>
          <w:rFonts w:hint="eastAsia" w:ascii="仿宋" w:hAnsi="仿宋" w:eastAsia="仿宋" w:cs="仿宋"/>
          <w:sz w:val="24"/>
          <w:szCs w:val="24"/>
          <w:highlight w:val="none"/>
        </w:rPr>
        <w:t>农商</w:t>
      </w:r>
      <w:r>
        <w:rPr>
          <w:rFonts w:hint="eastAsia" w:ascii="仿宋" w:hAnsi="仿宋" w:eastAsia="仿宋" w:cs="仿宋"/>
          <w:sz w:val="24"/>
          <w:szCs w:val="24"/>
          <w:highlight w:val="none"/>
          <w:lang w:val="en-US" w:eastAsia="zh-CN"/>
        </w:rPr>
        <w:t>村镇</w:t>
      </w:r>
      <w:r>
        <w:rPr>
          <w:rFonts w:hint="eastAsia" w:ascii="仿宋" w:hAnsi="仿宋" w:eastAsia="仿宋" w:cs="仿宋"/>
          <w:sz w:val="24"/>
          <w:szCs w:val="24"/>
          <w:highlight w:val="none"/>
        </w:rPr>
        <w:t>银行20</w:t>
      </w:r>
      <w:r>
        <w:rPr>
          <w:rFonts w:hint="eastAsia" w:ascii="仿宋" w:hAnsi="仿宋" w:eastAsia="仿宋" w:cs="仿宋"/>
          <w:sz w:val="24"/>
          <w:szCs w:val="24"/>
          <w:highlight w:val="none"/>
          <w:lang w:val="en-US" w:eastAsia="zh-CN"/>
        </w:rPr>
        <w:t>24</w:t>
      </w:r>
      <w:r>
        <w:rPr>
          <w:rFonts w:hint="eastAsia" w:ascii="仿宋" w:hAnsi="仿宋" w:eastAsia="仿宋" w:cs="仿宋"/>
          <w:sz w:val="24"/>
          <w:szCs w:val="24"/>
          <w:highlight w:val="none"/>
        </w:rPr>
        <w:t>年社会责任报告》。为更好地向您及其他利益相关方提供有价值的信息，促进本行提高履行社会责任的能力和水平，</w:t>
      </w:r>
      <w:r>
        <w:rPr>
          <w:rFonts w:hint="eastAsia" w:ascii="仿宋" w:hAnsi="仿宋" w:eastAsia="仿宋" w:cs="仿宋"/>
          <w:sz w:val="24"/>
          <w:szCs w:val="24"/>
          <w:highlight w:val="none"/>
          <w:lang w:eastAsia="zh-CN"/>
        </w:rPr>
        <w:t>本行</w:t>
      </w:r>
      <w:r>
        <w:rPr>
          <w:rFonts w:hint="eastAsia" w:ascii="仿宋" w:hAnsi="仿宋" w:eastAsia="仿宋" w:cs="仿宋"/>
          <w:sz w:val="24"/>
          <w:szCs w:val="24"/>
          <w:highlight w:val="none"/>
        </w:rPr>
        <w:t>诚挚邀请您对本报告提出宝贵意见和建议，并通过以下方式反馈给我们。</w:t>
      </w:r>
    </w:p>
    <w:p w14:paraId="3A2D74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lang w:val="en-US" w:eastAsia="zh-CN"/>
        </w:rPr>
        <w:t>0735-2401855</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邮件</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924207890@qq.com</w:t>
      </w:r>
    </w:p>
    <w:p w14:paraId="4B1F4F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val="en-US" w:eastAsia="zh-CN"/>
        </w:rPr>
        <w:t xml:space="preserve">湖南省郴州市桂阳县龙潭街道文化路128号     </w:t>
      </w:r>
      <w:r>
        <w:rPr>
          <w:rFonts w:hint="eastAsia" w:ascii="仿宋" w:hAnsi="仿宋" w:eastAsia="仿宋" w:cs="仿宋"/>
          <w:sz w:val="24"/>
          <w:szCs w:val="24"/>
          <w:highlight w:val="none"/>
        </w:rPr>
        <w:t xml:space="preserve"> 邮编：</w:t>
      </w:r>
      <w:r>
        <w:rPr>
          <w:rFonts w:hint="eastAsia" w:ascii="仿宋" w:hAnsi="仿宋" w:eastAsia="仿宋" w:cs="仿宋"/>
          <w:sz w:val="24"/>
          <w:szCs w:val="24"/>
          <w:highlight w:val="none"/>
          <w:lang w:val="en-US" w:eastAsia="zh-CN"/>
        </w:rPr>
        <w:t>424400</w:t>
      </w:r>
    </w:p>
    <w:p w14:paraId="512D4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罗玄敏</w:t>
      </w:r>
    </w:p>
    <w:p w14:paraId="5AE7A971">
      <w:pPr>
        <w:pStyle w:val="6"/>
        <w:keepNext w:val="0"/>
        <w:keepLines w:val="0"/>
        <w:pageBreakBefore w:val="0"/>
        <w:widowControl w:val="0"/>
        <w:kinsoku/>
        <w:wordWrap/>
        <w:overflowPunct/>
        <w:topLinePunct w:val="0"/>
        <w:autoSpaceDE/>
        <w:autoSpaceDN/>
        <w:bidi w:val="0"/>
        <w:adjustRightInd/>
        <w:snapToGrid/>
        <w:spacing w:after="0" w:line="600" w:lineRule="exact"/>
        <w:textAlignment w:val="auto"/>
        <w:rPr>
          <w:sz w:val="24"/>
          <w:szCs w:val="24"/>
          <w:highlight w:val="none"/>
        </w:rPr>
      </w:pPr>
    </w:p>
    <w:p w14:paraId="3B75F60B">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您属于哪类利益相关方？</w:t>
      </w:r>
    </w:p>
    <w:p w14:paraId="4D48EA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000000"/>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股东与投资者</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客户</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员工</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政府</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监管机构</w:t>
      </w:r>
    </w:p>
    <w:p w14:paraId="31F0D88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供应商与合作伙伴</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社区</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公众与媒体</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其他</w:t>
      </w:r>
    </w:p>
    <w:p w14:paraId="5F7C4EB1">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您对本行企业社会责任报告的总体评价：</w:t>
      </w:r>
    </w:p>
    <w:p w14:paraId="030D739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□好□较好□一般□较不好□不好</w:t>
      </w:r>
    </w:p>
    <w:p w14:paraId="4AC29C87">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您对本行履行经济、社会、环境责任的评价：</w:t>
      </w:r>
    </w:p>
    <w:p w14:paraId="6D3E2BA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经济责任：□好□较好□一般□较不好□不好</w:t>
      </w:r>
    </w:p>
    <w:p w14:paraId="13EAED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社会责任：□好□较好□一般□较不好□不好</w:t>
      </w:r>
    </w:p>
    <w:p w14:paraId="2CDA5E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环境责任：□好□较好□一般□较不好□不好</w:t>
      </w:r>
    </w:p>
    <w:p w14:paraId="288B8EA6">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您认为本报告能否反映本行的社会责任实践对经济、社会、环境的影响？</w:t>
      </w:r>
    </w:p>
    <w:p w14:paraId="41B76DF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□能很好反映□能较好反映□能一般反映□不太能反映□不能反映</w:t>
      </w:r>
    </w:p>
    <w:p w14:paraId="4DCDCBB2">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您认为本报告披露的信息、数据、指标的清晰度、准确度和完整性如何？</w:t>
      </w:r>
    </w:p>
    <w:p w14:paraId="7AB05E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清晰度：□好□较好□一般□较不好□不好</w:t>
      </w:r>
    </w:p>
    <w:p w14:paraId="63B7CC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准确度：□好□较好□一般□较不好□不好</w:t>
      </w:r>
    </w:p>
    <w:p w14:paraId="3DE6DC0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完整性：□好□较好□一般□较不好□不好</w:t>
      </w:r>
    </w:p>
    <w:p w14:paraId="20C517B0">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您认为本报告的内容安排和版式设计是否方便阅读？</w:t>
      </w:r>
    </w:p>
    <w:p w14:paraId="118D7F23">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□是□一般□否</w:t>
      </w:r>
    </w:p>
    <w:p w14:paraId="75AB1967">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您对本行企业社会责任工作和本报告的其他意见和建议。</w:t>
      </w:r>
    </w:p>
    <w:p w14:paraId="524A4ABC">
      <w:pPr>
        <w:spacing w:line="600" w:lineRule="exact"/>
        <w:rPr>
          <w:rFonts w:hint="eastAsia" w:ascii="仿宋" w:hAnsi="仿宋" w:eastAsia="仿宋" w:cs="仿宋"/>
          <w:b/>
          <w:bCs/>
          <w:sz w:val="28"/>
          <w:szCs w:val="28"/>
          <w:highlight w:val="none"/>
          <w:lang w:val="en-US" w:eastAsia="zh-CN"/>
        </w:rPr>
      </w:pPr>
    </w:p>
    <w:p w14:paraId="1726C78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04AA">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0CC6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5D0CC6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F19D0">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309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3AD309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A1F6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D4B81"/>
    <w:multiLevelType w:val="singleLevel"/>
    <w:tmpl w:val="962D4B81"/>
    <w:lvl w:ilvl="0" w:tentative="0">
      <w:start w:val="1"/>
      <w:numFmt w:val="decimal"/>
      <w:suff w:val="nothing"/>
      <w:lvlText w:val="%1、"/>
      <w:lvlJc w:val="left"/>
    </w:lvl>
  </w:abstractNum>
  <w:abstractNum w:abstractNumId="1">
    <w:nsid w:val="AC785A1F"/>
    <w:multiLevelType w:val="singleLevel"/>
    <w:tmpl w:val="AC785A1F"/>
    <w:lvl w:ilvl="0" w:tentative="0">
      <w:start w:val="1"/>
      <w:numFmt w:val="decimal"/>
      <w:suff w:val="nothing"/>
      <w:lvlText w:val="%1、"/>
      <w:lvlJc w:val="left"/>
      <w:pPr>
        <w:ind w:left="630"/>
      </w:pPr>
    </w:lvl>
  </w:abstractNum>
  <w:abstractNum w:abstractNumId="2">
    <w:nsid w:val="1273463E"/>
    <w:multiLevelType w:val="singleLevel"/>
    <w:tmpl w:val="1273463E"/>
    <w:lvl w:ilvl="0" w:tentative="0">
      <w:start w:val="1"/>
      <w:numFmt w:val="decimal"/>
      <w:lvlText w:val="%1."/>
      <w:lvlJc w:val="left"/>
      <w:pPr>
        <w:ind w:left="425" w:hanging="425"/>
      </w:pPr>
      <w:rPr>
        <w:rFonts w:hint="default"/>
      </w:rPr>
    </w:lvl>
  </w:abstractNum>
  <w:abstractNum w:abstractNumId="3">
    <w:nsid w:val="5F9F1B65"/>
    <w:multiLevelType w:val="singleLevel"/>
    <w:tmpl w:val="5F9F1B65"/>
    <w:lvl w:ilvl="0" w:tentative="0">
      <w:start w:val="3"/>
      <w:numFmt w:val="chineseCounting"/>
      <w:suff w:val="nothing"/>
      <w:lvlText w:val="（%1）"/>
      <w:lvlJc w:val="left"/>
      <w:rPr>
        <w:rFonts w:hint="eastAsia" w:ascii="仿宋" w:hAnsi="仿宋" w:eastAsia="仿宋" w:cs="仿宋"/>
        <w:b/>
        <w:bCs/>
        <w:sz w:val="32"/>
        <w:szCs w:val="32"/>
      </w:rPr>
    </w:lvl>
  </w:abstractNum>
  <w:abstractNum w:abstractNumId="4">
    <w:nsid w:val="7637BC85"/>
    <w:multiLevelType w:val="singleLevel"/>
    <w:tmpl w:val="7637BC85"/>
    <w:lvl w:ilvl="0" w:tentative="0">
      <w:start w:val="1"/>
      <w:numFmt w:val="chineseCounting"/>
      <w:suff w:val="nothing"/>
      <w:lvlText w:val="（%1）"/>
      <w:lvlJc w:val="left"/>
      <w:rPr>
        <w:rFonts w:hint="eastAsia"/>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yN2RhYzUyZjg3ZDZlYjgzZTkyZTUxZmZmOTUxMTgifQ=="/>
  </w:docVars>
  <w:rsids>
    <w:rsidRoot w:val="77DA6B38"/>
    <w:rsid w:val="00C93487"/>
    <w:rsid w:val="02477DC9"/>
    <w:rsid w:val="025D70DB"/>
    <w:rsid w:val="02780DAF"/>
    <w:rsid w:val="028B5457"/>
    <w:rsid w:val="02A8425B"/>
    <w:rsid w:val="038140E6"/>
    <w:rsid w:val="03B74A47"/>
    <w:rsid w:val="0491773B"/>
    <w:rsid w:val="04B05649"/>
    <w:rsid w:val="05AD1B88"/>
    <w:rsid w:val="063060E4"/>
    <w:rsid w:val="06A869C9"/>
    <w:rsid w:val="075F088B"/>
    <w:rsid w:val="076B00D8"/>
    <w:rsid w:val="08950206"/>
    <w:rsid w:val="08BC192A"/>
    <w:rsid w:val="08BC274C"/>
    <w:rsid w:val="08E4719F"/>
    <w:rsid w:val="08E628C0"/>
    <w:rsid w:val="0981197F"/>
    <w:rsid w:val="0A4B4A5A"/>
    <w:rsid w:val="0C576EBD"/>
    <w:rsid w:val="0C6641B3"/>
    <w:rsid w:val="0CDA596F"/>
    <w:rsid w:val="0DA150F5"/>
    <w:rsid w:val="0DBC7A38"/>
    <w:rsid w:val="0FD948D4"/>
    <w:rsid w:val="10D91A83"/>
    <w:rsid w:val="112B3D0E"/>
    <w:rsid w:val="11605955"/>
    <w:rsid w:val="117C03B4"/>
    <w:rsid w:val="119F02CA"/>
    <w:rsid w:val="11BC387F"/>
    <w:rsid w:val="12525F91"/>
    <w:rsid w:val="12AB4C4B"/>
    <w:rsid w:val="12D51297"/>
    <w:rsid w:val="12EC00D1"/>
    <w:rsid w:val="136E6FD9"/>
    <w:rsid w:val="137D703E"/>
    <w:rsid w:val="13C01A62"/>
    <w:rsid w:val="13DC1813"/>
    <w:rsid w:val="141507E6"/>
    <w:rsid w:val="155B109F"/>
    <w:rsid w:val="18495F04"/>
    <w:rsid w:val="192E12E2"/>
    <w:rsid w:val="1AAA47A9"/>
    <w:rsid w:val="1D232A04"/>
    <w:rsid w:val="1DFF5500"/>
    <w:rsid w:val="1E4A0E15"/>
    <w:rsid w:val="1E892D3B"/>
    <w:rsid w:val="214D4DCD"/>
    <w:rsid w:val="21CD31E7"/>
    <w:rsid w:val="22124DF5"/>
    <w:rsid w:val="227E462E"/>
    <w:rsid w:val="23495B78"/>
    <w:rsid w:val="236B2A0F"/>
    <w:rsid w:val="238C1FCF"/>
    <w:rsid w:val="24D171E9"/>
    <w:rsid w:val="24E46F1D"/>
    <w:rsid w:val="24F31430"/>
    <w:rsid w:val="281F026C"/>
    <w:rsid w:val="28214987"/>
    <w:rsid w:val="288F31DA"/>
    <w:rsid w:val="28C12E2E"/>
    <w:rsid w:val="28E4047F"/>
    <w:rsid w:val="29A56B05"/>
    <w:rsid w:val="2B591C7B"/>
    <w:rsid w:val="2BA016C4"/>
    <w:rsid w:val="2BD54077"/>
    <w:rsid w:val="2C7B1863"/>
    <w:rsid w:val="2D6460B5"/>
    <w:rsid w:val="2DFA1814"/>
    <w:rsid w:val="2E18054D"/>
    <w:rsid w:val="2E817976"/>
    <w:rsid w:val="2FCD0DAF"/>
    <w:rsid w:val="2FE34275"/>
    <w:rsid w:val="2FF7282B"/>
    <w:rsid w:val="32536D08"/>
    <w:rsid w:val="33165D4B"/>
    <w:rsid w:val="331F55C4"/>
    <w:rsid w:val="332C7427"/>
    <w:rsid w:val="33656452"/>
    <w:rsid w:val="342A2472"/>
    <w:rsid w:val="35DA3258"/>
    <w:rsid w:val="3689287F"/>
    <w:rsid w:val="369C408E"/>
    <w:rsid w:val="37D9110E"/>
    <w:rsid w:val="39D66BBF"/>
    <w:rsid w:val="3A09490F"/>
    <w:rsid w:val="3A6958A3"/>
    <w:rsid w:val="3AB7596B"/>
    <w:rsid w:val="3B253993"/>
    <w:rsid w:val="3B3E6B85"/>
    <w:rsid w:val="3B482BC5"/>
    <w:rsid w:val="3B697D24"/>
    <w:rsid w:val="3B8276CC"/>
    <w:rsid w:val="3D12023E"/>
    <w:rsid w:val="3E2A53AD"/>
    <w:rsid w:val="3E8A00D3"/>
    <w:rsid w:val="3F0F2E98"/>
    <w:rsid w:val="404B30D4"/>
    <w:rsid w:val="40C15F0C"/>
    <w:rsid w:val="419D24D5"/>
    <w:rsid w:val="42CF6B2E"/>
    <w:rsid w:val="43530CFB"/>
    <w:rsid w:val="446E5227"/>
    <w:rsid w:val="44780FD8"/>
    <w:rsid w:val="45B1654F"/>
    <w:rsid w:val="45DD5596"/>
    <w:rsid w:val="47555600"/>
    <w:rsid w:val="478D5FA1"/>
    <w:rsid w:val="47D26D73"/>
    <w:rsid w:val="4B3B782D"/>
    <w:rsid w:val="4BBF6E8E"/>
    <w:rsid w:val="4D634455"/>
    <w:rsid w:val="4DD93E25"/>
    <w:rsid w:val="4E2062A6"/>
    <w:rsid w:val="4E7F035C"/>
    <w:rsid w:val="4EF42C0A"/>
    <w:rsid w:val="4F295208"/>
    <w:rsid w:val="4F332132"/>
    <w:rsid w:val="4F4D7371"/>
    <w:rsid w:val="50A324ED"/>
    <w:rsid w:val="511E4CB5"/>
    <w:rsid w:val="512F09A7"/>
    <w:rsid w:val="51580123"/>
    <w:rsid w:val="51730B5D"/>
    <w:rsid w:val="5242391E"/>
    <w:rsid w:val="530B4BE6"/>
    <w:rsid w:val="539F20DD"/>
    <w:rsid w:val="53C44F0B"/>
    <w:rsid w:val="545A4345"/>
    <w:rsid w:val="55262462"/>
    <w:rsid w:val="55BD1AD2"/>
    <w:rsid w:val="55F618C3"/>
    <w:rsid w:val="56412F15"/>
    <w:rsid w:val="564156CE"/>
    <w:rsid w:val="58494D38"/>
    <w:rsid w:val="5A0C7465"/>
    <w:rsid w:val="5A2F1CE1"/>
    <w:rsid w:val="5A593714"/>
    <w:rsid w:val="5A923736"/>
    <w:rsid w:val="5AD32A01"/>
    <w:rsid w:val="5B1E5FDD"/>
    <w:rsid w:val="5B5D13B6"/>
    <w:rsid w:val="5BC72B44"/>
    <w:rsid w:val="5C54327E"/>
    <w:rsid w:val="5D1219A6"/>
    <w:rsid w:val="5DAA1DAA"/>
    <w:rsid w:val="5DF96327"/>
    <w:rsid w:val="5E2B52D1"/>
    <w:rsid w:val="5E557BF5"/>
    <w:rsid w:val="5F700DD2"/>
    <w:rsid w:val="6105474D"/>
    <w:rsid w:val="61995982"/>
    <w:rsid w:val="6363219D"/>
    <w:rsid w:val="63DF02D4"/>
    <w:rsid w:val="64634E99"/>
    <w:rsid w:val="64A81EDD"/>
    <w:rsid w:val="66753D0D"/>
    <w:rsid w:val="66CD6B09"/>
    <w:rsid w:val="66F71606"/>
    <w:rsid w:val="67A73256"/>
    <w:rsid w:val="68322B70"/>
    <w:rsid w:val="686E676C"/>
    <w:rsid w:val="68E8091E"/>
    <w:rsid w:val="68EF15AA"/>
    <w:rsid w:val="69A16071"/>
    <w:rsid w:val="6A2F09B2"/>
    <w:rsid w:val="6AC1406F"/>
    <w:rsid w:val="6B7D55FD"/>
    <w:rsid w:val="6B9E6F39"/>
    <w:rsid w:val="6CDC7B3A"/>
    <w:rsid w:val="6D067D2C"/>
    <w:rsid w:val="6E6F44A0"/>
    <w:rsid w:val="6EE61184"/>
    <w:rsid w:val="6EFA1B04"/>
    <w:rsid w:val="6FDB1138"/>
    <w:rsid w:val="70566D8E"/>
    <w:rsid w:val="707B2CDA"/>
    <w:rsid w:val="71AC3484"/>
    <w:rsid w:val="72AD6F16"/>
    <w:rsid w:val="732842AF"/>
    <w:rsid w:val="743957DE"/>
    <w:rsid w:val="74593A05"/>
    <w:rsid w:val="74F774FB"/>
    <w:rsid w:val="767174B1"/>
    <w:rsid w:val="76DB783A"/>
    <w:rsid w:val="76E16814"/>
    <w:rsid w:val="77364334"/>
    <w:rsid w:val="78517BBF"/>
    <w:rsid w:val="7892370F"/>
    <w:rsid w:val="7B645F60"/>
    <w:rsid w:val="7C15091C"/>
    <w:rsid w:val="7C29438A"/>
    <w:rsid w:val="7DFB1FCC"/>
    <w:rsid w:val="7E905F9E"/>
    <w:rsid w:val="7EB947D4"/>
    <w:rsid w:val="7F89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ind w:left="867"/>
      <w:outlineLvl w:val="1"/>
    </w:pPr>
    <w:rPr>
      <w:rFonts w:ascii="楷体" w:hAnsi="楷体" w:eastAsia="楷体" w:cs="楷体"/>
      <w:b/>
      <w:bCs/>
      <w:sz w:val="32"/>
      <w:szCs w:val="32"/>
      <w:lang w:val="zh-CN" w:eastAsia="zh-CN" w:bidi="zh-CN"/>
    </w:rPr>
  </w:style>
  <w:style w:type="paragraph" w:styleId="3">
    <w:name w:val="heading 2"/>
    <w:basedOn w:val="1"/>
    <w:next w:val="1"/>
    <w:autoRedefine/>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paragraph" w:styleId="4">
    <w:name w:val="heading 4"/>
    <w:basedOn w:val="1"/>
    <w:next w:val="1"/>
    <w:autoRedefine/>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1"/>
    <w:autoRedefine/>
    <w:qFormat/>
    <w:uiPriority w:val="0"/>
    <w:pPr>
      <w:spacing w:after="120"/>
    </w:pPr>
    <w:rPr>
      <w:szCs w:val="22"/>
    </w:rPr>
  </w:style>
  <w:style w:type="paragraph" w:styleId="7">
    <w:name w:val="Body Text Indent 2"/>
    <w:basedOn w:val="1"/>
    <w:autoRedefine/>
    <w:qFormat/>
    <w:uiPriority w:val="0"/>
    <w:pPr>
      <w:spacing w:line="300" w:lineRule="auto"/>
      <w:ind w:left="315" w:firstLine="585"/>
    </w:pPr>
    <w:rPr>
      <w:sz w:val="24"/>
      <w:szCs w:val="20"/>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6"/>
    <w:next w:val="1"/>
    <w:autoRedefine/>
    <w:unhideWhenUsed/>
    <w:qFormat/>
    <w:uiPriority w:val="99"/>
    <w:pPr>
      <w:ind w:firstLine="420"/>
    </w:pPr>
    <w:rPr>
      <w:rFonts w:eastAsia="楷体_GB2312"/>
      <w:sz w:val="32"/>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paragraph" w:customStyle="1" w:styleId="16">
    <w:name w:val="Table Paragraph"/>
    <w:basedOn w:val="1"/>
    <w:autoRedefine/>
    <w:qFormat/>
    <w:uiPriority w:val="1"/>
    <w:pPr>
      <w:jc w:val="center"/>
    </w:pPr>
    <w:rPr>
      <w:rFonts w:ascii="宋体" w:hAnsi="宋体" w:eastAsia="宋体" w:cs="宋体"/>
      <w:lang w:val="zh-CN" w:eastAsia="zh-CN" w:bidi="zh-CN"/>
    </w:rPr>
  </w:style>
  <w:style w:type="paragraph" w:customStyle="1" w:styleId="17">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12698</Words>
  <Characters>13661</Characters>
  <Lines>0</Lines>
  <Paragraphs>0</Paragraphs>
  <TotalTime>0</TotalTime>
  <ScaleCrop>false</ScaleCrop>
  <LinksUpToDate>false</LinksUpToDate>
  <CharactersWithSpaces>13756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妍妍夏日</cp:lastModifiedBy>
  <dcterms:modified xsi:type="dcterms:W3CDTF">2025-03-30T12:47:03Z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87ECFD2BD4FE41FD8A6E9FF25B5115BF_13</vt:lpwstr>
  </property>
  <property fmtid="{D5CDD505-2E9C-101B-9397-08002B2CF9AE}" pid="4" name="KSOTemplateDocerSaveRecord">
    <vt:lpwstr>eyJoZGlkIjoiNmEyN2RhYzUyZjg3ZDZlYjgzZTkyZTUxZmZmOTUxMTgiLCJ1c2VySWQiOiIyODI5NjM5MDAifQ==</vt:lpwstr>
  </property>
</Properties>
</file>